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3-Accent31"/>
        <w:tblW w:w="5000" w:type="pct"/>
        <w:tblLayout w:type="fixed"/>
        <w:tblCellMar>
          <w:top w:w="85" w:type="dxa"/>
          <w:bottom w:w="85" w:type="dxa"/>
        </w:tblCellMar>
        <w:tblLook w:val="0480" w:firstRow="0" w:lastRow="0" w:firstColumn="1" w:lastColumn="0" w:noHBand="0" w:noVBand="1"/>
      </w:tblPr>
      <w:tblGrid>
        <w:gridCol w:w="1982"/>
        <w:gridCol w:w="7754"/>
      </w:tblGrid>
      <w:tr w:rsidR="00A13A22" w:rsidTr="006F549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18" w:type="pct"/>
            <w:shd w:val="clear" w:color="auto" w:fill="auto"/>
          </w:tcPr>
          <w:p w:rsidR="00A13A22" w:rsidRPr="00CB7677" w:rsidRDefault="00A13A22"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PURPOSE</w:t>
            </w:r>
          </w:p>
        </w:tc>
        <w:tc>
          <w:tcPr>
            <w:tcW w:w="3982" w:type="pct"/>
            <w:shd w:val="clear" w:color="auto" w:fill="D9E2F3" w:themeFill="accent5" w:themeFillTint="33"/>
            <w:vAlign w:val="center"/>
          </w:tcPr>
          <w:p w:rsidR="00CB7677" w:rsidRPr="00A469BD" w:rsidRDefault="00CB7677" w:rsidP="00A469B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
              </w:rPr>
            </w:pPr>
            <w:r w:rsidRPr="00A469BD">
              <w:rPr>
                <w:rFonts w:ascii="Arial" w:hAnsi="Arial" w:cs="Arial"/>
                <w:b/>
              </w:rPr>
              <w:t>To ensure that Castlemaine Primary School:</w:t>
            </w:r>
          </w:p>
          <w:p w:rsidR="00CB7677" w:rsidRPr="00A469BD" w:rsidRDefault="00CB7677" w:rsidP="00A469BD">
            <w:pPr>
              <w:pStyle w:val="ListParagraph"/>
              <w:numPr>
                <w:ilvl w:val="0"/>
                <w:numId w:val="3"/>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A469BD">
              <w:rPr>
                <w:rFonts w:ascii="Arial" w:hAnsi="Arial" w:cs="Arial"/>
                <w:b/>
              </w:rPr>
              <w:t>Manages students at risk of anaphylaxis</w:t>
            </w:r>
          </w:p>
          <w:p w:rsidR="00A13A22" w:rsidRPr="00CB7677" w:rsidRDefault="00CB7677" w:rsidP="00A469BD">
            <w:pPr>
              <w:pStyle w:val="ListParagraph"/>
              <w:numPr>
                <w:ilvl w:val="0"/>
                <w:numId w:val="3"/>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69BD">
              <w:rPr>
                <w:rFonts w:ascii="Arial" w:hAnsi="Arial" w:cs="Arial"/>
                <w:b/>
              </w:rPr>
              <w:t>Meets legislative requirements</w:t>
            </w:r>
          </w:p>
        </w:tc>
      </w:tr>
      <w:tr w:rsidR="00A469BD" w:rsidTr="006F549F">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5A5A5" w:themeColor="accent3"/>
              <w:left w:val="nil"/>
              <w:bottom w:val="single" w:sz="4" w:space="0" w:color="A5A5A5" w:themeColor="accent3"/>
            </w:tcBorders>
            <w:vAlign w:val="center"/>
          </w:tcPr>
          <w:p w:rsidR="00A469BD" w:rsidRPr="00CB7677" w:rsidRDefault="00A469BD" w:rsidP="002B2BFB">
            <w:pPr>
              <w:jc w:val="right"/>
              <w:rPr>
                <w:rFonts w:ascii="Arial" w:hAnsi="Arial" w:cs="Arial"/>
                <w:color w:val="1F3864" w:themeColor="accent5" w:themeShade="80"/>
                <w:sz w:val="20"/>
              </w:rPr>
            </w:pPr>
          </w:p>
        </w:tc>
        <w:tc>
          <w:tcPr>
            <w:tcW w:w="3982" w:type="pct"/>
            <w:tcBorders>
              <w:top w:val="single" w:sz="4" w:space="0" w:color="A5A5A5" w:themeColor="accent3"/>
              <w:bottom w:val="single" w:sz="4" w:space="0" w:color="A5A5A5" w:themeColor="accent3"/>
              <w:right w:val="nil"/>
            </w:tcBorders>
            <w:vAlign w:val="center"/>
          </w:tcPr>
          <w:p w:rsidR="00A469BD" w:rsidRDefault="00A469BD" w:rsidP="002B2BF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469BD" w:rsidTr="006F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Pr>
          <w:p w:rsidR="00A469BD" w:rsidRPr="00CB7677" w:rsidRDefault="00A469BD"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POLICY</w:t>
            </w:r>
          </w:p>
        </w:tc>
        <w:tc>
          <w:tcPr>
            <w:tcW w:w="3982" w:type="pct"/>
            <w:shd w:val="clear" w:color="auto" w:fill="FFF2CC" w:themeFill="accent4" w:themeFillTint="33"/>
            <w:vAlign w:val="center"/>
          </w:tcPr>
          <w:p w:rsidR="00A469BD" w:rsidRPr="00A469BD" w:rsidRDefault="00A469BD" w:rsidP="002B2BFB">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Castlemaine Primary school</w:t>
            </w:r>
            <w:r w:rsidRPr="00A469BD">
              <w:rPr>
                <w:rFonts w:ascii="Arial" w:hAnsi="Arial" w:cs="Arial"/>
                <w:sz w:val="20"/>
              </w:rPr>
              <w:t xml:space="preserve"> must</w:t>
            </w:r>
            <w:r>
              <w:rPr>
                <w:rFonts w:ascii="Arial" w:hAnsi="Arial" w:cs="Arial"/>
                <w:sz w:val="20"/>
              </w:rPr>
              <w:t>,</w:t>
            </w:r>
            <w:r w:rsidRPr="00A469BD">
              <w:rPr>
                <w:rFonts w:ascii="Arial" w:hAnsi="Arial" w:cs="Arial"/>
                <w:sz w:val="20"/>
              </w:rPr>
              <w:t xml:space="preserve"> by law</w:t>
            </w:r>
            <w:r>
              <w:rPr>
                <w:rFonts w:ascii="Arial" w:hAnsi="Arial" w:cs="Arial"/>
                <w:sz w:val="20"/>
              </w:rPr>
              <w:t>,</w:t>
            </w:r>
            <w:r w:rsidRPr="00A469BD">
              <w:rPr>
                <w:rFonts w:ascii="Arial" w:hAnsi="Arial" w:cs="Arial"/>
                <w:sz w:val="20"/>
              </w:rPr>
              <w:t xml:space="preserve"> have a School Anaphylaxis Management Policy in place that includes:</w:t>
            </w:r>
          </w:p>
          <w:p w:rsidR="00A469BD" w:rsidRPr="00A469BD" w:rsidRDefault="00A469BD" w:rsidP="002B2BFB">
            <w:pPr>
              <w:pStyle w:val="ListParagraph"/>
              <w:numPr>
                <w:ilvl w:val="0"/>
                <w:numId w:val="2"/>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69BD">
              <w:rPr>
                <w:rFonts w:ascii="Arial" w:hAnsi="Arial" w:cs="Arial"/>
                <w:sz w:val="20"/>
              </w:rPr>
              <w:t>a statement that the school will comply with Ministerial Order 706 and associated guidelines</w:t>
            </w:r>
          </w:p>
          <w:p w:rsidR="00A469BD" w:rsidRPr="00A469BD" w:rsidRDefault="00A469BD" w:rsidP="002B2BFB">
            <w:pPr>
              <w:pStyle w:val="ListParagraph"/>
              <w:numPr>
                <w:ilvl w:val="0"/>
                <w:numId w:val="2"/>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69BD">
              <w:rPr>
                <w:rFonts w:ascii="Arial" w:hAnsi="Arial" w:cs="Arial"/>
                <w:sz w:val="20"/>
              </w:rPr>
              <w:t>a statement that in the event of an anaphylactic reaction, the school’s first aid and emergency management response procedures and the student’s Individual Anaphylaxis Management Plan must be followed</w:t>
            </w:r>
          </w:p>
          <w:p w:rsidR="00A469BD" w:rsidRPr="00A469BD" w:rsidRDefault="00A469BD" w:rsidP="002B2BFB">
            <w:pPr>
              <w:pStyle w:val="ListParagraph"/>
              <w:numPr>
                <w:ilvl w:val="0"/>
                <w:numId w:val="2"/>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69BD">
              <w:rPr>
                <w:rFonts w:ascii="Arial" w:hAnsi="Arial" w:cs="Arial"/>
                <w:sz w:val="20"/>
              </w:rPr>
              <w:t>the development and regular review of Individual Anaphylaxis Management Plans for affected students</w:t>
            </w:r>
          </w:p>
          <w:p w:rsidR="00A469BD" w:rsidRPr="00A469BD" w:rsidRDefault="00A469BD" w:rsidP="002B2BFB">
            <w:pPr>
              <w:pStyle w:val="ListParagraph"/>
              <w:numPr>
                <w:ilvl w:val="0"/>
                <w:numId w:val="2"/>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69BD">
              <w:rPr>
                <w:rFonts w:ascii="Arial" w:hAnsi="Arial" w:cs="Arial"/>
                <w:sz w:val="20"/>
              </w:rPr>
              <w:t>prevention strategies to be used by the school to minimise the risk of an anaphylactic reaction</w:t>
            </w:r>
          </w:p>
          <w:p w:rsidR="00A469BD" w:rsidRPr="00A469BD" w:rsidRDefault="00A469BD" w:rsidP="002B2BFB">
            <w:pPr>
              <w:pStyle w:val="ListParagraph"/>
              <w:numPr>
                <w:ilvl w:val="0"/>
                <w:numId w:val="2"/>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69BD">
              <w:rPr>
                <w:rFonts w:ascii="Arial" w:hAnsi="Arial" w:cs="Arial"/>
                <w:sz w:val="20"/>
              </w:rPr>
              <w:t>the purchase of 'b</w:t>
            </w:r>
            <w:r w:rsidR="00C36AD5">
              <w:rPr>
                <w:rFonts w:ascii="Arial" w:hAnsi="Arial" w:cs="Arial"/>
                <w:sz w:val="20"/>
              </w:rPr>
              <w:t>ackup’ adrenaline auto-injecto</w:t>
            </w:r>
            <w:r w:rsidRPr="00A469BD">
              <w:rPr>
                <w:rFonts w:ascii="Arial" w:hAnsi="Arial" w:cs="Arial"/>
                <w:sz w:val="20"/>
              </w:rPr>
              <w:t>r(s) as part of the school first aid kit(s), for general use</w:t>
            </w:r>
          </w:p>
          <w:p w:rsidR="00A469BD" w:rsidRPr="00A469BD" w:rsidRDefault="00A469BD" w:rsidP="002B2BFB">
            <w:pPr>
              <w:pStyle w:val="ListParagraph"/>
              <w:numPr>
                <w:ilvl w:val="0"/>
                <w:numId w:val="2"/>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69BD">
              <w:rPr>
                <w:rFonts w:ascii="Arial" w:hAnsi="Arial" w:cs="Arial"/>
                <w:sz w:val="20"/>
              </w:rPr>
              <w:t>the development of a Communication Plan to raise staff, student and school community awareness about severe allergies and the School’s Anaphylaxis Management Policy</w:t>
            </w:r>
          </w:p>
          <w:p w:rsidR="00A469BD" w:rsidRPr="00A469BD" w:rsidRDefault="00A469BD" w:rsidP="002B2BFB">
            <w:pPr>
              <w:pStyle w:val="ListParagraph"/>
              <w:numPr>
                <w:ilvl w:val="0"/>
                <w:numId w:val="2"/>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69BD">
              <w:rPr>
                <w:rFonts w:ascii="Arial" w:hAnsi="Arial" w:cs="Arial"/>
                <w:sz w:val="20"/>
              </w:rPr>
              <w:t xml:space="preserve">regular training and updates for school staff in recognising and responding appropriately to an anaphylactic reaction, including competently administering an </w:t>
            </w:r>
            <w:proofErr w:type="spellStart"/>
            <w:r w:rsidRPr="00A469BD">
              <w:rPr>
                <w:rFonts w:ascii="Arial" w:hAnsi="Arial" w:cs="Arial"/>
                <w:sz w:val="20"/>
              </w:rPr>
              <w:t>EpiPen</w:t>
            </w:r>
            <w:proofErr w:type="spellEnd"/>
            <w:r w:rsidRPr="00A469BD">
              <w:rPr>
                <w:rFonts w:ascii="Arial" w:hAnsi="Arial" w:cs="Arial"/>
                <w:sz w:val="20"/>
              </w:rPr>
              <w:t>/</w:t>
            </w:r>
            <w:proofErr w:type="spellStart"/>
            <w:r w:rsidRPr="00A469BD">
              <w:rPr>
                <w:rFonts w:ascii="Arial" w:hAnsi="Arial" w:cs="Arial"/>
                <w:sz w:val="20"/>
              </w:rPr>
              <w:t>Anapen</w:t>
            </w:r>
            <w:proofErr w:type="spellEnd"/>
          </w:p>
          <w:p w:rsidR="00A469BD" w:rsidRPr="00A469BD" w:rsidRDefault="00A469BD" w:rsidP="002B2BFB">
            <w:pPr>
              <w:pStyle w:val="ListParagraph"/>
              <w:numPr>
                <w:ilvl w:val="0"/>
                <w:numId w:val="2"/>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69BD">
              <w:rPr>
                <w:rFonts w:ascii="Arial" w:hAnsi="Arial" w:cs="Arial"/>
                <w:sz w:val="20"/>
              </w:rPr>
              <w:t>the completion of an Annual Anaphy</w:t>
            </w:r>
            <w:r>
              <w:rPr>
                <w:rFonts w:ascii="Arial" w:hAnsi="Arial" w:cs="Arial"/>
                <w:sz w:val="20"/>
              </w:rPr>
              <w:t>laxis Risk Management Checklist</w:t>
            </w:r>
          </w:p>
        </w:tc>
      </w:tr>
      <w:tr w:rsidR="00A13A22" w:rsidTr="006F549F">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5A5A5" w:themeColor="accent3"/>
              <w:left w:val="nil"/>
              <w:bottom w:val="single" w:sz="4" w:space="0" w:color="A5A5A5" w:themeColor="accent3"/>
            </w:tcBorders>
          </w:tcPr>
          <w:p w:rsidR="00A13A22" w:rsidRPr="00CB7677" w:rsidRDefault="00A13A22" w:rsidP="00CB7677">
            <w:pPr>
              <w:rPr>
                <w:rFonts w:ascii="Arial" w:hAnsi="Arial" w:cs="Arial"/>
                <w:color w:val="1F3864" w:themeColor="accent5" w:themeShade="80"/>
                <w:sz w:val="20"/>
              </w:rPr>
            </w:pPr>
          </w:p>
        </w:tc>
        <w:tc>
          <w:tcPr>
            <w:tcW w:w="3982" w:type="pct"/>
            <w:tcBorders>
              <w:top w:val="single" w:sz="4" w:space="0" w:color="A5A5A5" w:themeColor="accent3"/>
              <w:bottom w:val="single" w:sz="4" w:space="0" w:color="A5A5A5" w:themeColor="accent3"/>
              <w:right w:val="nil"/>
            </w:tcBorders>
          </w:tcPr>
          <w:p w:rsidR="00A13A22" w:rsidRDefault="00A13A22" w:rsidP="00CB767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3A22" w:rsidTr="006F549F">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018" w:type="pct"/>
          </w:tcPr>
          <w:p w:rsidR="00A13A22" w:rsidRPr="00CB7677" w:rsidRDefault="00B23665"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PRE</w:t>
            </w:r>
            <w:r w:rsidR="00A13A22" w:rsidRPr="00CB7677">
              <w:rPr>
                <w:rFonts w:ascii="Arial" w:hAnsi="Arial" w:cs="Arial"/>
                <w:color w:val="1F3864" w:themeColor="accent5" w:themeShade="80"/>
                <w:sz w:val="20"/>
              </w:rPr>
              <w:t>REQUISITE</w:t>
            </w:r>
            <w:r w:rsidR="00A469BD">
              <w:rPr>
                <w:rFonts w:ascii="Arial" w:hAnsi="Arial" w:cs="Arial"/>
                <w:color w:val="1F3864" w:themeColor="accent5" w:themeShade="80"/>
                <w:sz w:val="20"/>
              </w:rPr>
              <w:t xml:space="preserve"> POLICY/IES</w:t>
            </w:r>
          </w:p>
        </w:tc>
        <w:tc>
          <w:tcPr>
            <w:tcW w:w="3982" w:type="pct"/>
            <w:vAlign w:val="center"/>
          </w:tcPr>
          <w:p w:rsidR="00A469BD" w:rsidRDefault="00A469BD" w:rsidP="00A469B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Health Care Needs</w:t>
            </w:r>
          </w:p>
          <w:p w:rsidR="00A13A22" w:rsidRDefault="00494CB8" w:rsidP="00A469B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69BD">
              <w:rPr>
                <w:rFonts w:ascii="Arial" w:hAnsi="Arial" w:cs="Arial"/>
                <w:sz w:val="20"/>
              </w:rPr>
              <w:t>http://www.education.vic.gov.au/school/principals/spag/health/Pages/healthcareneeds.aspx</w:t>
            </w:r>
          </w:p>
        </w:tc>
      </w:tr>
      <w:tr w:rsidR="00A469BD" w:rsidTr="006F549F">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5A5A5" w:themeColor="accent3"/>
              <w:left w:val="nil"/>
              <w:bottom w:val="single" w:sz="4" w:space="0" w:color="A5A5A5" w:themeColor="accent3"/>
            </w:tcBorders>
            <w:vAlign w:val="center"/>
          </w:tcPr>
          <w:p w:rsidR="00A469BD" w:rsidRPr="00CB7677" w:rsidRDefault="00A469BD" w:rsidP="0051288A">
            <w:pPr>
              <w:jc w:val="right"/>
              <w:rPr>
                <w:rFonts w:ascii="Arial" w:hAnsi="Arial" w:cs="Arial"/>
                <w:color w:val="1F3864" w:themeColor="accent5" w:themeShade="80"/>
                <w:sz w:val="20"/>
              </w:rPr>
            </w:pPr>
          </w:p>
        </w:tc>
        <w:tc>
          <w:tcPr>
            <w:tcW w:w="3982" w:type="pct"/>
            <w:tcBorders>
              <w:top w:val="single" w:sz="4" w:space="0" w:color="A5A5A5" w:themeColor="accent3"/>
              <w:bottom w:val="single" w:sz="4" w:space="0" w:color="A5A5A5" w:themeColor="accent3"/>
              <w:right w:val="nil"/>
            </w:tcBorders>
            <w:vAlign w:val="center"/>
          </w:tcPr>
          <w:p w:rsidR="00A469BD" w:rsidRDefault="00A469BD" w:rsidP="0051288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469BD" w:rsidTr="006F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Pr>
          <w:p w:rsidR="00A469BD" w:rsidRPr="00CB7677" w:rsidRDefault="00A469BD"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RELATED POLICIES</w:t>
            </w:r>
          </w:p>
        </w:tc>
        <w:tc>
          <w:tcPr>
            <w:tcW w:w="3982" w:type="pct"/>
            <w:vAlign w:val="center"/>
          </w:tcPr>
          <w:p w:rsidR="00A469BD" w:rsidRDefault="000365CF" w:rsidP="00A469B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Health Support Planning Forms</w:t>
            </w:r>
          </w:p>
          <w:p w:rsidR="000365CF" w:rsidRDefault="000365CF" w:rsidP="00A469B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Responding to Anaphylaxis</w:t>
            </w:r>
          </w:p>
        </w:tc>
      </w:tr>
      <w:tr w:rsidR="00A13A22" w:rsidTr="006F549F">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5A5A5" w:themeColor="accent3"/>
              <w:left w:val="nil"/>
              <w:bottom w:val="single" w:sz="4" w:space="0" w:color="A5A5A5" w:themeColor="accent3"/>
            </w:tcBorders>
            <w:vAlign w:val="center"/>
          </w:tcPr>
          <w:p w:rsidR="00A13A22" w:rsidRPr="00CB7677" w:rsidRDefault="00A13A22" w:rsidP="00CB7677">
            <w:pPr>
              <w:jc w:val="right"/>
              <w:rPr>
                <w:rFonts w:ascii="Arial" w:hAnsi="Arial" w:cs="Arial"/>
                <w:color w:val="1F3864" w:themeColor="accent5" w:themeShade="80"/>
                <w:sz w:val="20"/>
              </w:rPr>
            </w:pPr>
          </w:p>
        </w:tc>
        <w:tc>
          <w:tcPr>
            <w:tcW w:w="3982" w:type="pct"/>
            <w:tcBorders>
              <w:top w:val="single" w:sz="4" w:space="0" w:color="A5A5A5" w:themeColor="accent3"/>
              <w:bottom w:val="single" w:sz="4" w:space="0" w:color="A5A5A5" w:themeColor="accent3"/>
              <w:right w:val="nil"/>
            </w:tcBorders>
            <w:vAlign w:val="center"/>
          </w:tcPr>
          <w:p w:rsidR="00A13A22" w:rsidRDefault="00A13A22" w:rsidP="00CB767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3A22" w:rsidTr="006F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Pr>
          <w:p w:rsidR="00A13A22" w:rsidRPr="00CB7677" w:rsidRDefault="00A13A22"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BACKGROUND</w:t>
            </w:r>
          </w:p>
        </w:tc>
        <w:tc>
          <w:tcPr>
            <w:tcW w:w="3982" w:type="pct"/>
            <w:vAlign w:val="center"/>
          </w:tcPr>
          <w:p w:rsidR="00A469BD" w:rsidRPr="00A469BD" w:rsidRDefault="00A469BD" w:rsidP="00A469B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69BD">
              <w:rPr>
                <w:rFonts w:ascii="Arial" w:hAnsi="Arial" w:cs="Arial"/>
                <w:sz w:val="20"/>
              </w:rPr>
              <w:t xml:space="preserve">On 14 July 2008, the Children’s Services and Education Legislation Amendment (Anaphylaxis Management) Act 2008 came into effect amending the Children’s Services Act 1996 and the Education and Training Reform Act 2006 requiring that all licensed children’s services and schools have an anaphylaxis management policy in place. </w:t>
            </w:r>
          </w:p>
          <w:p w:rsidR="00A13A22" w:rsidRDefault="00A469BD" w:rsidP="00A469BD">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69BD">
              <w:rPr>
                <w:rFonts w:ascii="Arial" w:hAnsi="Arial" w:cs="Arial"/>
                <w:sz w:val="20"/>
              </w:rPr>
              <w:t xml:space="preserve">Ministerial Order 706 - Anaphylaxis Management in </w:t>
            </w:r>
            <w:proofErr w:type="gramStart"/>
            <w:r w:rsidRPr="00A469BD">
              <w:rPr>
                <w:rFonts w:ascii="Arial" w:hAnsi="Arial" w:cs="Arial"/>
                <w:sz w:val="20"/>
              </w:rPr>
              <w:t>Victorian Schools</w:t>
            </w:r>
            <w:proofErr w:type="gramEnd"/>
            <w:r w:rsidRPr="00A469BD">
              <w:rPr>
                <w:rFonts w:ascii="Arial" w:hAnsi="Arial" w:cs="Arial"/>
                <w:sz w:val="20"/>
              </w:rPr>
              <w:t xml:space="preserve"> outlines points that schools need to ensure are included in their Anaphylaxis Management Policy.  Ministerial Order 706 comes into effect on 22 April 2014 a</w:t>
            </w:r>
            <w:r>
              <w:rPr>
                <w:rFonts w:ascii="Arial" w:hAnsi="Arial" w:cs="Arial"/>
                <w:sz w:val="20"/>
              </w:rPr>
              <w:t>nd repeals Ministerial Order 90.</w:t>
            </w:r>
          </w:p>
        </w:tc>
      </w:tr>
      <w:tr w:rsidR="00A13A22" w:rsidTr="006F549F">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5A5A5" w:themeColor="accent3"/>
              <w:left w:val="nil"/>
              <w:bottom w:val="single" w:sz="4" w:space="0" w:color="A5A5A5" w:themeColor="accent3"/>
            </w:tcBorders>
            <w:vAlign w:val="center"/>
          </w:tcPr>
          <w:p w:rsidR="00A13A22" w:rsidRPr="00CB7677" w:rsidRDefault="00A13A22" w:rsidP="00CB7677">
            <w:pPr>
              <w:jc w:val="right"/>
              <w:rPr>
                <w:rFonts w:ascii="Arial" w:hAnsi="Arial" w:cs="Arial"/>
                <w:color w:val="1F3864" w:themeColor="accent5" w:themeShade="80"/>
                <w:sz w:val="20"/>
              </w:rPr>
            </w:pPr>
          </w:p>
        </w:tc>
        <w:tc>
          <w:tcPr>
            <w:tcW w:w="3982" w:type="pct"/>
            <w:tcBorders>
              <w:top w:val="single" w:sz="4" w:space="0" w:color="A5A5A5" w:themeColor="accent3"/>
              <w:bottom w:val="single" w:sz="4" w:space="0" w:color="A5A5A5" w:themeColor="accent3"/>
              <w:right w:val="nil"/>
            </w:tcBorders>
            <w:vAlign w:val="center"/>
          </w:tcPr>
          <w:p w:rsidR="00A13A22" w:rsidRDefault="00A13A22" w:rsidP="00CB767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3A22" w:rsidTr="006F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Pr>
          <w:p w:rsidR="00A13A22" w:rsidRPr="00CB7677" w:rsidRDefault="00A13A22"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RELATED LEGISLATION</w:t>
            </w:r>
          </w:p>
        </w:tc>
        <w:tc>
          <w:tcPr>
            <w:tcW w:w="3982" w:type="pct"/>
            <w:vAlign w:val="center"/>
          </w:tcPr>
          <w:p w:rsidR="000365CF" w:rsidRPr="000365CF" w:rsidRDefault="000365CF" w:rsidP="000365CF">
            <w:pPr>
              <w:pStyle w:val="ListParagraph"/>
              <w:numPr>
                <w:ilvl w:val="0"/>
                <w:numId w:val="4"/>
              </w:numPr>
              <w:spacing w:before="80" w:after="80"/>
              <w:ind w:left="17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0365CF">
              <w:rPr>
                <w:rFonts w:ascii="Arial" w:hAnsi="Arial" w:cs="Arial"/>
                <w:b/>
                <w:i/>
                <w:sz w:val="20"/>
              </w:rPr>
              <w:t>Children’s Services and Education Legislation Amendment (Anaphylaxis Management) Act 2008</w:t>
            </w:r>
          </w:p>
          <w:p w:rsidR="000365CF" w:rsidRPr="000365CF" w:rsidRDefault="000365CF" w:rsidP="000365CF">
            <w:pPr>
              <w:pStyle w:val="ListParagraph"/>
              <w:numPr>
                <w:ilvl w:val="0"/>
                <w:numId w:val="4"/>
              </w:numPr>
              <w:spacing w:before="80" w:after="80"/>
              <w:ind w:left="17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365CF">
              <w:rPr>
                <w:rFonts w:ascii="Arial" w:hAnsi="Arial" w:cs="Arial"/>
                <w:b/>
                <w:i/>
                <w:sz w:val="20"/>
              </w:rPr>
              <w:t xml:space="preserve">Ministerial Order 90 </w:t>
            </w:r>
            <w:r w:rsidRPr="000365CF">
              <w:rPr>
                <w:rFonts w:ascii="Arial" w:hAnsi="Arial" w:cs="Arial"/>
                <w:b/>
                <w:sz w:val="20"/>
              </w:rPr>
              <w:t>(repealed on 22 April 2014)</w:t>
            </w:r>
          </w:p>
          <w:p w:rsidR="000365CF" w:rsidRPr="000365CF" w:rsidRDefault="000365CF" w:rsidP="000365CF">
            <w:pPr>
              <w:pStyle w:val="ListParagraph"/>
              <w:numPr>
                <w:ilvl w:val="0"/>
                <w:numId w:val="4"/>
              </w:numPr>
              <w:spacing w:before="80" w:after="80"/>
              <w:ind w:left="17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365CF">
              <w:rPr>
                <w:rFonts w:ascii="Arial" w:hAnsi="Arial" w:cs="Arial"/>
                <w:b/>
                <w:i/>
                <w:sz w:val="20"/>
              </w:rPr>
              <w:t>Ministerial Order 706</w:t>
            </w:r>
            <w:r w:rsidRPr="000365CF">
              <w:rPr>
                <w:rFonts w:ascii="Arial" w:hAnsi="Arial" w:cs="Arial"/>
                <w:b/>
                <w:sz w:val="20"/>
              </w:rPr>
              <w:t xml:space="preserve"> (effective from 22 April 2014)</w:t>
            </w:r>
          </w:p>
          <w:p w:rsidR="000365CF" w:rsidRDefault="000365CF" w:rsidP="000365C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
                <w:i/>
                <w:sz w:val="20"/>
                <w:u w:val="single"/>
              </w:rPr>
            </w:pPr>
          </w:p>
          <w:p w:rsidR="00A469BD" w:rsidRPr="000365CF" w:rsidRDefault="00A469BD" w:rsidP="000365C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
                <w:i/>
                <w:sz w:val="20"/>
                <w:u w:val="single"/>
              </w:rPr>
            </w:pPr>
            <w:r w:rsidRPr="000365CF">
              <w:rPr>
                <w:rFonts w:ascii="Arial" w:hAnsi="Arial" w:cs="Arial"/>
                <w:b/>
                <w:i/>
                <w:sz w:val="20"/>
                <w:u w:val="single"/>
              </w:rPr>
              <w:t>Ministerial Order 706 - School Requirement</w:t>
            </w:r>
          </w:p>
          <w:p w:rsidR="00A13A22" w:rsidRDefault="00A469BD" w:rsidP="000365C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469BD">
              <w:rPr>
                <w:rFonts w:ascii="Arial" w:hAnsi="Arial" w:cs="Arial"/>
                <w:sz w:val="20"/>
              </w:rPr>
              <w:t>Schools must review and update their existing policy and practices in managing students at risk of anaphylaxis to ensure they meet the legislative and policy requirements outlined below.</w:t>
            </w:r>
          </w:p>
        </w:tc>
      </w:tr>
      <w:tr w:rsidR="00A13A22" w:rsidTr="006F549F">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5A5A5" w:themeColor="accent3"/>
              <w:left w:val="nil"/>
              <w:bottom w:val="single" w:sz="4" w:space="0" w:color="A5A5A5" w:themeColor="accent3"/>
            </w:tcBorders>
            <w:vAlign w:val="center"/>
          </w:tcPr>
          <w:p w:rsidR="00A13A22" w:rsidRPr="00CB7677" w:rsidRDefault="00A13A22" w:rsidP="00CB7677">
            <w:pPr>
              <w:jc w:val="right"/>
              <w:rPr>
                <w:rFonts w:ascii="Arial" w:hAnsi="Arial" w:cs="Arial"/>
                <w:color w:val="1F3864" w:themeColor="accent5" w:themeShade="80"/>
                <w:sz w:val="20"/>
              </w:rPr>
            </w:pPr>
          </w:p>
        </w:tc>
        <w:tc>
          <w:tcPr>
            <w:tcW w:w="3982" w:type="pct"/>
            <w:tcBorders>
              <w:top w:val="single" w:sz="4" w:space="0" w:color="A5A5A5" w:themeColor="accent3"/>
              <w:bottom w:val="single" w:sz="4" w:space="0" w:color="A5A5A5" w:themeColor="accent3"/>
              <w:right w:val="nil"/>
            </w:tcBorders>
            <w:vAlign w:val="center"/>
          </w:tcPr>
          <w:p w:rsidR="00A13A22" w:rsidRDefault="00A13A22" w:rsidP="00CB767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3A22" w:rsidTr="006F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Pr>
          <w:p w:rsidR="00A13A22" w:rsidRPr="00CB7677" w:rsidRDefault="00A13A22"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DEECD RESOURCES</w:t>
            </w:r>
          </w:p>
        </w:tc>
        <w:tc>
          <w:tcPr>
            <w:tcW w:w="3982" w:type="pct"/>
            <w:vAlign w:val="center"/>
          </w:tcPr>
          <w:p w:rsidR="000365CF" w:rsidRPr="000365CF" w:rsidRDefault="000365CF" w:rsidP="000365CF">
            <w:pPr>
              <w:pStyle w:val="ListParagraph"/>
              <w:numPr>
                <w:ilvl w:val="0"/>
                <w:numId w:val="4"/>
              </w:numPr>
              <w:spacing w:before="80" w:after="80"/>
              <w:ind w:left="17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Ministerial Order 706</w:t>
            </w:r>
          </w:p>
          <w:p w:rsidR="000365CF" w:rsidRPr="000365CF" w:rsidRDefault="000365CF" w:rsidP="000365CF">
            <w:pPr>
              <w:pStyle w:val="ListParagraph"/>
              <w:numPr>
                <w:ilvl w:val="0"/>
                <w:numId w:val="4"/>
              </w:numPr>
              <w:spacing w:before="80" w:after="80"/>
              <w:ind w:left="17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Anaphylaxis Guidelines for Victorian Schools</w:t>
            </w:r>
          </w:p>
          <w:p w:rsidR="000365CF" w:rsidRPr="000365CF" w:rsidRDefault="000365CF" w:rsidP="000365CF">
            <w:pPr>
              <w:pStyle w:val="ListParagraph"/>
              <w:numPr>
                <w:ilvl w:val="0"/>
                <w:numId w:val="4"/>
              </w:numPr>
              <w:spacing w:before="80" w:after="80"/>
              <w:ind w:left="17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Fact Sheet – Changes to Anaphylaxis Management in all Victorian Schools</w:t>
            </w:r>
          </w:p>
          <w:p w:rsidR="000365CF" w:rsidRPr="000365CF" w:rsidRDefault="000365CF" w:rsidP="000365CF">
            <w:pPr>
              <w:pStyle w:val="ListParagraph"/>
              <w:numPr>
                <w:ilvl w:val="0"/>
                <w:numId w:val="4"/>
              </w:numPr>
              <w:spacing w:before="80" w:after="80"/>
              <w:ind w:left="17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Questions and Answers on implementation of Ministerial Order 706</w:t>
            </w:r>
          </w:p>
          <w:p w:rsidR="000365CF" w:rsidRPr="000365CF" w:rsidRDefault="000365CF" w:rsidP="000365CF">
            <w:pPr>
              <w:pStyle w:val="ListParagraph"/>
              <w:numPr>
                <w:ilvl w:val="0"/>
                <w:numId w:val="4"/>
              </w:numPr>
              <w:spacing w:before="80" w:after="80"/>
              <w:ind w:left="17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Sample School Anaphylaxis Policy</w:t>
            </w:r>
          </w:p>
          <w:p w:rsidR="000365CF" w:rsidRPr="000365CF" w:rsidRDefault="000365CF" w:rsidP="000365CF">
            <w:pPr>
              <w:pStyle w:val="ListParagraph"/>
              <w:numPr>
                <w:ilvl w:val="0"/>
                <w:numId w:val="4"/>
              </w:numPr>
              <w:spacing w:before="80" w:after="80"/>
              <w:ind w:left="17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 xml:space="preserve">Annual Anaphylaxis Risk Management Checklist </w:t>
            </w:r>
          </w:p>
          <w:p w:rsidR="000365CF" w:rsidRPr="000365CF" w:rsidRDefault="000365CF" w:rsidP="000365CF">
            <w:pPr>
              <w:pStyle w:val="ListParagraph"/>
              <w:numPr>
                <w:ilvl w:val="0"/>
                <w:numId w:val="4"/>
              </w:numPr>
              <w:spacing w:before="80" w:after="80"/>
              <w:ind w:left="17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Individual Anaphylaxis Management Plan Template</w:t>
            </w:r>
          </w:p>
          <w:p w:rsidR="000365CF" w:rsidRPr="000365CF" w:rsidRDefault="000365CF" w:rsidP="000365CF">
            <w:pPr>
              <w:pStyle w:val="ListParagraph"/>
              <w:numPr>
                <w:ilvl w:val="0"/>
                <w:numId w:val="4"/>
              </w:numPr>
              <w:spacing w:before="80" w:after="80"/>
              <w:ind w:left="17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Facilitator Guide for Anaphylaxis Management Briefing</w:t>
            </w:r>
          </w:p>
          <w:p w:rsidR="000365CF" w:rsidRPr="000365CF" w:rsidRDefault="000365CF" w:rsidP="000365CF">
            <w:pPr>
              <w:pStyle w:val="ListParagraph"/>
              <w:numPr>
                <w:ilvl w:val="0"/>
                <w:numId w:val="4"/>
              </w:numPr>
              <w:spacing w:before="80" w:after="80"/>
              <w:ind w:left="17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Anaphylaxis Management Briefing Presentation see:  Anaphylaxis Management in Schools (</w:t>
            </w:r>
            <w:hyperlink r:id="rId7" w:history="1">
              <w:r w:rsidRPr="00F53071">
                <w:rPr>
                  <w:rStyle w:val="Hyperlink"/>
                  <w:rFonts w:ascii="Arial" w:hAnsi="Arial" w:cs="Arial"/>
                  <w:sz w:val="20"/>
                </w:rPr>
                <w:t>http://www.education.vic.gov.au/school/teachers/health/pages/anaphylaxisschl.aspx</w:t>
              </w:r>
            </w:hyperlink>
            <w:r w:rsidRPr="000365CF">
              <w:rPr>
                <w:rFonts w:ascii="Arial" w:hAnsi="Arial" w:cs="Arial"/>
                <w:sz w:val="20"/>
              </w:rPr>
              <w:t>)</w:t>
            </w:r>
          </w:p>
          <w:p w:rsidR="000365CF" w:rsidRDefault="000365CF" w:rsidP="000365C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0365CF" w:rsidRPr="000365CF" w:rsidRDefault="000365CF" w:rsidP="000365C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Other Department resources are:</w:t>
            </w:r>
          </w:p>
          <w:p w:rsidR="000365CF" w:rsidRDefault="000365CF" w:rsidP="000365CF">
            <w:pPr>
              <w:pStyle w:val="ListParagraph"/>
              <w:numPr>
                <w:ilvl w:val="0"/>
                <w:numId w:val="4"/>
              </w:numPr>
              <w:spacing w:before="80" w:after="80"/>
              <w:ind w:left="17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Risk Minimisation Strategies (</w:t>
            </w:r>
            <w:hyperlink r:id="rId8" w:history="1">
              <w:r w:rsidRPr="00F53071">
                <w:rPr>
                  <w:rStyle w:val="Hyperlink"/>
                  <w:rFonts w:ascii="Arial" w:hAnsi="Arial" w:cs="Arial"/>
                  <w:sz w:val="20"/>
                </w:rPr>
                <w:t>http://www.education.vic.gov.auhttps://edugate.eduweb.vic.gov.au/edulibrary/Schools/teachers/health/riskminimisation.pdf</w:t>
              </w:r>
            </w:hyperlink>
            <w:r>
              <w:rPr>
                <w:rFonts w:ascii="Arial" w:hAnsi="Arial" w:cs="Arial"/>
                <w:sz w:val="20"/>
              </w:rPr>
              <w:t>)</w:t>
            </w:r>
          </w:p>
          <w:p w:rsidR="000365CF" w:rsidRDefault="000365CF" w:rsidP="000365CF">
            <w:pPr>
              <w:pStyle w:val="ListParagraph"/>
              <w:numPr>
                <w:ilvl w:val="0"/>
                <w:numId w:val="4"/>
              </w:numPr>
              <w:spacing w:before="80" w:after="80"/>
              <w:ind w:left="175" w:hanging="175"/>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School Canteens (</w:t>
            </w:r>
            <w:hyperlink r:id="rId9" w:history="1">
              <w:r w:rsidRPr="00F53071">
                <w:rPr>
                  <w:rStyle w:val="Hyperlink"/>
                  <w:rFonts w:ascii="Arial" w:hAnsi="Arial" w:cs="Arial"/>
                  <w:sz w:val="20"/>
                </w:rPr>
                <w:t>http://www.education.vic.gov.auhttps://edugate.eduweb.vic.gov.au/edulibrary/Schools/teachers/health/canteendiscussion.pdf</w:t>
              </w:r>
            </w:hyperlink>
            <w:r w:rsidRPr="000365CF">
              <w:rPr>
                <w:rFonts w:ascii="Arial" w:hAnsi="Arial" w:cs="Arial"/>
                <w:sz w:val="20"/>
              </w:rPr>
              <w:t>)</w:t>
            </w:r>
          </w:p>
        </w:tc>
      </w:tr>
      <w:tr w:rsidR="00A13A22" w:rsidTr="006F549F">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5A5A5" w:themeColor="accent3"/>
              <w:left w:val="nil"/>
              <w:bottom w:val="single" w:sz="4" w:space="0" w:color="A5A5A5" w:themeColor="accent3"/>
            </w:tcBorders>
            <w:vAlign w:val="center"/>
          </w:tcPr>
          <w:p w:rsidR="00A13A22" w:rsidRPr="00CB7677" w:rsidRDefault="00A13A22" w:rsidP="00CB7677">
            <w:pPr>
              <w:jc w:val="right"/>
              <w:rPr>
                <w:rFonts w:ascii="Arial" w:hAnsi="Arial" w:cs="Arial"/>
                <w:color w:val="1F3864" w:themeColor="accent5" w:themeShade="80"/>
                <w:sz w:val="20"/>
              </w:rPr>
            </w:pPr>
          </w:p>
        </w:tc>
        <w:tc>
          <w:tcPr>
            <w:tcW w:w="3982" w:type="pct"/>
            <w:tcBorders>
              <w:top w:val="single" w:sz="4" w:space="0" w:color="A5A5A5" w:themeColor="accent3"/>
              <w:bottom w:val="single" w:sz="4" w:space="0" w:color="A5A5A5" w:themeColor="accent3"/>
              <w:right w:val="nil"/>
            </w:tcBorders>
            <w:vAlign w:val="center"/>
          </w:tcPr>
          <w:p w:rsidR="00A13A22" w:rsidRDefault="00A13A22" w:rsidP="00CB767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3A22" w:rsidTr="006F5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Pr>
          <w:p w:rsidR="00A13A22" w:rsidRPr="00CB7677" w:rsidRDefault="00A13A22" w:rsidP="00A469BD">
            <w:pPr>
              <w:spacing w:before="80"/>
              <w:rPr>
                <w:rFonts w:ascii="Arial" w:hAnsi="Arial" w:cs="Arial"/>
                <w:color w:val="1F3864" w:themeColor="accent5" w:themeShade="80"/>
                <w:sz w:val="20"/>
              </w:rPr>
            </w:pPr>
            <w:r w:rsidRPr="00CB7677">
              <w:rPr>
                <w:rFonts w:ascii="Arial" w:hAnsi="Arial" w:cs="Arial"/>
                <w:color w:val="1F3864" w:themeColor="accent5" w:themeShade="80"/>
                <w:sz w:val="20"/>
              </w:rPr>
              <w:t>OTHER RESOURCES</w:t>
            </w:r>
          </w:p>
        </w:tc>
        <w:tc>
          <w:tcPr>
            <w:tcW w:w="3982" w:type="pct"/>
            <w:vAlign w:val="center"/>
          </w:tcPr>
          <w:p w:rsidR="000365CF" w:rsidRDefault="000365CF" w:rsidP="000365CF">
            <w:pPr>
              <w:pStyle w:val="ListParagraph"/>
              <w:numPr>
                <w:ilvl w:val="0"/>
                <w:numId w:val="4"/>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 xml:space="preserve">Anaphylaxis Australia (http://www.allergyfacts.org.au/livingwith.html) - </w:t>
            </w:r>
            <w:r>
              <w:rPr>
                <w:rFonts w:ascii="Arial" w:hAnsi="Arial" w:cs="Arial"/>
                <w:sz w:val="20"/>
              </w:rPr>
              <w:t>about living with anaphylaxis</w:t>
            </w:r>
          </w:p>
          <w:p w:rsidR="000365CF" w:rsidRDefault="000365CF" w:rsidP="000365CF">
            <w:pPr>
              <w:pStyle w:val="ListParagraph"/>
              <w:numPr>
                <w:ilvl w:val="0"/>
                <w:numId w:val="4"/>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ASCIA Guidelines (http://www.allergy.org.au/health-professionals/anaphylaxis-resources) - for prevention of food anaphylactic reactions in scho</w:t>
            </w:r>
            <w:r>
              <w:rPr>
                <w:rFonts w:ascii="Arial" w:hAnsi="Arial" w:cs="Arial"/>
                <w:sz w:val="20"/>
              </w:rPr>
              <w:t>ols, preschools and childcare</w:t>
            </w:r>
          </w:p>
          <w:p w:rsidR="000365CF" w:rsidRDefault="000365CF" w:rsidP="000365CF">
            <w:pPr>
              <w:pStyle w:val="ListParagraph"/>
              <w:numPr>
                <w:ilvl w:val="0"/>
                <w:numId w:val="4"/>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Royal Children’s Hospital: Allergy and Immunology (</w:t>
            </w:r>
            <w:hyperlink r:id="rId10" w:history="1">
              <w:r w:rsidRPr="00F53071">
                <w:rPr>
                  <w:rStyle w:val="Hyperlink"/>
                  <w:rFonts w:ascii="Arial" w:hAnsi="Arial" w:cs="Arial"/>
                  <w:sz w:val="20"/>
                </w:rPr>
                <w:t>http://www.rch.org.au/allergy/index.cfm?doc_id=7219</w:t>
              </w:r>
            </w:hyperlink>
            <w:r>
              <w:rPr>
                <w:rFonts w:ascii="Arial" w:hAnsi="Arial" w:cs="Arial"/>
                <w:sz w:val="20"/>
              </w:rPr>
              <w:t>)</w:t>
            </w:r>
          </w:p>
          <w:p w:rsidR="00A13A22" w:rsidRPr="000365CF" w:rsidRDefault="000365CF" w:rsidP="000365CF">
            <w:pPr>
              <w:pStyle w:val="ListParagraph"/>
              <w:numPr>
                <w:ilvl w:val="0"/>
                <w:numId w:val="4"/>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65CF">
              <w:rPr>
                <w:rFonts w:ascii="Arial" w:hAnsi="Arial" w:cs="Arial"/>
                <w:sz w:val="20"/>
              </w:rPr>
              <w:t>Royal Children’s Hospital - Anaphylaxis Support Advisory Line (</w:t>
            </w:r>
            <w:hyperlink r:id="rId11" w:history="1">
              <w:r w:rsidRPr="00F53071">
                <w:rPr>
                  <w:rStyle w:val="Hyperlink"/>
                  <w:rFonts w:ascii="Arial" w:hAnsi="Arial" w:cs="Arial"/>
                  <w:sz w:val="20"/>
                </w:rPr>
                <w:t>http://www.rch.org.au/allergy/advisory/Anaphylaxis_Support_Advisory_Line/</w:t>
              </w:r>
            </w:hyperlink>
            <w:r>
              <w:rPr>
                <w:rFonts w:ascii="Arial" w:hAnsi="Arial" w:cs="Arial"/>
                <w:sz w:val="20"/>
              </w:rPr>
              <w:t xml:space="preserve">).  </w:t>
            </w:r>
            <w:r w:rsidRPr="000365CF">
              <w:rPr>
                <w:rFonts w:ascii="Arial" w:hAnsi="Arial" w:cs="Arial"/>
                <w:sz w:val="20"/>
              </w:rPr>
              <w:t xml:space="preserve">For all school anaphylaxis management enquires, (including the implementation of Ministerial Order 706). The advisory line is available </w:t>
            </w:r>
            <w:r w:rsidRPr="000365CF">
              <w:rPr>
                <w:rFonts w:ascii="Arial" w:hAnsi="Arial" w:cs="Arial"/>
                <w:sz w:val="20"/>
              </w:rPr>
              <w:lastRenderedPageBreak/>
              <w:t>between the hours of 8.30 am to 5 pm, Monday to Friday. Phone 1300 725 911 (toll free) or (03) 9345 4235.</w:t>
            </w:r>
          </w:p>
        </w:tc>
      </w:tr>
    </w:tbl>
    <w:p w:rsidR="00A13A22" w:rsidRDefault="00A13A22" w:rsidP="00A13A22">
      <w:pPr>
        <w:rPr>
          <w:rFonts w:ascii="Arial" w:hAnsi="Arial" w:cs="Arial"/>
          <w:sz w:val="20"/>
        </w:rPr>
      </w:pPr>
    </w:p>
    <w:tbl>
      <w:tblPr>
        <w:tblStyle w:val="TableGrid"/>
        <w:tblW w:w="5002" w:type="pct"/>
        <w:tblLayout w:type="fixed"/>
        <w:tblCellMar>
          <w:top w:w="85" w:type="dxa"/>
          <w:bottom w:w="85" w:type="dxa"/>
        </w:tblCellMar>
        <w:tblLook w:val="04A0" w:firstRow="1" w:lastRow="0" w:firstColumn="1" w:lastColumn="0" w:noHBand="0" w:noVBand="1"/>
      </w:tblPr>
      <w:tblGrid>
        <w:gridCol w:w="1985"/>
        <w:gridCol w:w="7755"/>
      </w:tblGrid>
      <w:tr w:rsidR="00A13A22" w:rsidTr="006F549F">
        <w:tc>
          <w:tcPr>
            <w:tcW w:w="1019" w:type="pct"/>
          </w:tcPr>
          <w:p w:rsidR="00A13A22" w:rsidRPr="009B1373" w:rsidRDefault="00A13A22" w:rsidP="002E5CCD">
            <w:pPr>
              <w:rPr>
                <w:rFonts w:ascii="Arial" w:hAnsi="Arial" w:cs="Arial"/>
                <w:b/>
                <w:sz w:val="20"/>
              </w:rPr>
            </w:pPr>
            <w:r w:rsidRPr="009B1373">
              <w:rPr>
                <w:rFonts w:ascii="Arial" w:hAnsi="Arial" w:cs="Arial"/>
                <w:b/>
                <w:sz w:val="20"/>
              </w:rPr>
              <w:t>GUIDELINES</w:t>
            </w:r>
          </w:p>
        </w:tc>
        <w:tc>
          <w:tcPr>
            <w:tcW w:w="3981" w:type="pct"/>
          </w:tcPr>
          <w:p w:rsidR="006F549F" w:rsidRPr="006F549F" w:rsidRDefault="006F549F" w:rsidP="006F549F">
            <w:pPr>
              <w:rPr>
                <w:rFonts w:ascii="Arial" w:hAnsi="Arial" w:cs="Arial"/>
                <w:sz w:val="20"/>
              </w:rPr>
            </w:pPr>
            <w:r w:rsidRPr="006F549F">
              <w:rPr>
                <w:rFonts w:ascii="Arial" w:hAnsi="Arial" w:cs="Arial"/>
                <w:sz w:val="20"/>
              </w:rPr>
              <w:t>Guidelines have been developed to assist all Victorian schools in planning for, and supporting students with severe allergies. Schools should use the Guidelines as a resource to assess and review their current management practices, and to develop a School Anaphylaxis Management Policy which complies with the Order.</w:t>
            </w:r>
          </w:p>
          <w:p w:rsidR="006F549F" w:rsidRPr="006F549F" w:rsidRDefault="006F549F" w:rsidP="006F549F">
            <w:pPr>
              <w:rPr>
                <w:rFonts w:ascii="Arial" w:hAnsi="Arial" w:cs="Arial"/>
                <w:sz w:val="20"/>
              </w:rPr>
            </w:pPr>
            <w:r w:rsidRPr="006F549F">
              <w:rPr>
                <w:rFonts w:ascii="Arial" w:hAnsi="Arial" w:cs="Arial"/>
                <w:sz w:val="20"/>
              </w:rPr>
              <w:t>Anaphylaxis Guidelines: a resource for managing severe allergies in Victorian schools includes information on:</w:t>
            </w:r>
          </w:p>
          <w:p w:rsidR="006F549F" w:rsidRPr="006F549F" w:rsidRDefault="006F549F" w:rsidP="006F549F">
            <w:pPr>
              <w:rPr>
                <w:rFonts w:ascii="Arial" w:hAnsi="Arial" w:cs="Arial"/>
                <w:sz w:val="20"/>
              </w:rPr>
            </w:pPr>
            <w:r w:rsidRPr="006F549F">
              <w:rPr>
                <w:rFonts w:ascii="Arial" w:hAnsi="Arial" w:cs="Arial"/>
                <w:sz w:val="20"/>
              </w:rPr>
              <w:t>&gt; medical information about anaphylaxis</w:t>
            </w:r>
          </w:p>
          <w:p w:rsidR="006F549F" w:rsidRPr="006F549F" w:rsidRDefault="006F549F" w:rsidP="006F549F">
            <w:pPr>
              <w:rPr>
                <w:rFonts w:ascii="Arial" w:hAnsi="Arial" w:cs="Arial"/>
                <w:sz w:val="20"/>
              </w:rPr>
            </w:pPr>
            <w:r w:rsidRPr="006F549F">
              <w:rPr>
                <w:rFonts w:ascii="Arial" w:hAnsi="Arial" w:cs="Arial"/>
                <w:sz w:val="20"/>
              </w:rPr>
              <w:t>&gt; legal obligations for schools in relation to anaphylaxis</w:t>
            </w:r>
          </w:p>
          <w:p w:rsidR="006F549F" w:rsidRPr="006F549F" w:rsidRDefault="006F549F" w:rsidP="006F549F">
            <w:pPr>
              <w:rPr>
                <w:rFonts w:ascii="Arial" w:hAnsi="Arial" w:cs="Arial"/>
                <w:sz w:val="20"/>
              </w:rPr>
            </w:pPr>
            <w:r w:rsidRPr="006F549F">
              <w:rPr>
                <w:rFonts w:ascii="Arial" w:hAnsi="Arial" w:cs="Arial"/>
                <w:sz w:val="20"/>
              </w:rPr>
              <w:t>&gt; frequently asked questions</w:t>
            </w:r>
          </w:p>
          <w:p w:rsidR="006F549F" w:rsidRPr="006F549F" w:rsidRDefault="006F549F" w:rsidP="006F549F">
            <w:pPr>
              <w:rPr>
                <w:rFonts w:ascii="Arial" w:hAnsi="Arial" w:cs="Arial"/>
                <w:sz w:val="20"/>
              </w:rPr>
            </w:pPr>
            <w:r w:rsidRPr="006F549F">
              <w:rPr>
                <w:rFonts w:ascii="Arial" w:hAnsi="Arial" w:cs="Arial"/>
                <w:sz w:val="20"/>
              </w:rPr>
              <w:t>&gt; school anaphylaxis management policy</w:t>
            </w:r>
          </w:p>
          <w:p w:rsidR="006F549F" w:rsidRPr="006F549F" w:rsidRDefault="006F549F" w:rsidP="006F549F">
            <w:pPr>
              <w:rPr>
                <w:rFonts w:ascii="Arial" w:hAnsi="Arial" w:cs="Arial"/>
                <w:sz w:val="20"/>
              </w:rPr>
            </w:pPr>
            <w:r w:rsidRPr="006F549F">
              <w:rPr>
                <w:rFonts w:ascii="Arial" w:hAnsi="Arial" w:cs="Arial"/>
                <w:sz w:val="20"/>
              </w:rPr>
              <w:t>&gt; individual anaphylaxis management plans</w:t>
            </w:r>
          </w:p>
          <w:p w:rsidR="006F549F" w:rsidRPr="006F549F" w:rsidRDefault="006F549F" w:rsidP="006F549F">
            <w:pPr>
              <w:rPr>
                <w:rFonts w:ascii="Arial" w:hAnsi="Arial" w:cs="Arial"/>
                <w:sz w:val="20"/>
              </w:rPr>
            </w:pPr>
            <w:r w:rsidRPr="006F549F">
              <w:rPr>
                <w:rFonts w:ascii="Arial" w:hAnsi="Arial" w:cs="Arial"/>
                <w:sz w:val="20"/>
              </w:rPr>
              <w:t>&gt; prevention strategies</w:t>
            </w:r>
          </w:p>
          <w:p w:rsidR="006F549F" w:rsidRPr="006F549F" w:rsidRDefault="006F549F" w:rsidP="006F549F">
            <w:pPr>
              <w:rPr>
                <w:rFonts w:ascii="Arial" w:hAnsi="Arial" w:cs="Arial"/>
                <w:sz w:val="20"/>
              </w:rPr>
            </w:pPr>
            <w:r w:rsidRPr="006F549F">
              <w:rPr>
                <w:rFonts w:ascii="Arial" w:hAnsi="Arial" w:cs="Arial"/>
                <w:sz w:val="20"/>
              </w:rPr>
              <w:t>&gt; school management and emergency response</w:t>
            </w:r>
          </w:p>
          <w:p w:rsidR="006F549F" w:rsidRPr="006F549F" w:rsidRDefault="006F549F" w:rsidP="006F549F">
            <w:pPr>
              <w:rPr>
                <w:rFonts w:ascii="Arial" w:hAnsi="Arial" w:cs="Arial"/>
                <w:sz w:val="20"/>
              </w:rPr>
            </w:pPr>
            <w:r w:rsidRPr="006F549F">
              <w:rPr>
                <w:rFonts w:ascii="Arial" w:hAnsi="Arial" w:cs="Arial"/>
                <w:sz w:val="20"/>
              </w:rPr>
              <w:t xml:space="preserve">&gt; adrenaline </w:t>
            </w:r>
            <w:proofErr w:type="spellStart"/>
            <w:r w:rsidRPr="006F549F">
              <w:rPr>
                <w:rFonts w:ascii="Arial" w:hAnsi="Arial" w:cs="Arial"/>
                <w:sz w:val="20"/>
              </w:rPr>
              <w:t>autoinjectors</w:t>
            </w:r>
            <w:proofErr w:type="spellEnd"/>
            <w:r w:rsidRPr="006F549F">
              <w:rPr>
                <w:rFonts w:ascii="Arial" w:hAnsi="Arial" w:cs="Arial"/>
                <w:sz w:val="20"/>
              </w:rPr>
              <w:t xml:space="preserve"> for general use</w:t>
            </w:r>
          </w:p>
          <w:p w:rsidR="006F549F" w:rsidRPr="006F549F" w:rsidRDefault="006F549F" w:rsidP="006F549F">
            <w:pPr>
              <w:rPr>
                <w:rFonts w:ascii="Arial" w:hAnsi="Arial" w:cs="Arial"/>
                <w:sz w:val="20"/>
              </w:rPr>
            </w:pPr>
            <w:r w:rsidRPr="006F549F">
              <w:rPr>
                <w:rFonts w:ascii="Arial" w:hAnsi="Arial" w:cs="Arial"/>
                <w:sz w:val="20"/>
              </w:rPr>
              <w:t>&gt; communication plan</w:t>
            </w:r>
          </w:p>
          <w:p w:rsidR="006F549F" w:rsidRPr="006F549F" w:rsidRDefault="006F549F" w:rsidP="006F549F">
            <w:pPr>
              <w:rPr>
                <w:rFonts w:ascii="Arial" w:hAnsi="Arial" w:cs="Arial"/>
                <w:sz w:val="20"/>
              </w:rPr>
            </w:pPr>
            <w:r w:rsidRPr="006F549F">
              <w:rPr>
                <w:rFonts w:ascii="Arial" w:hAnsi="Arial" w:cs="Arial"/>
                <w:sz w:val="20"/>
              </w:rPr>
              <w:t>&gt; staff training</w:t>
            </w:r>
          </w:p>
          <w:p w:rsidR="00A13A22" w:rsidRDefault="006F549F" w:rsidP="006F549F">
            <w:pPr>
              <w:rPr>
                <w:rFonts w:ascii="Arial" w:hAnsi="Arial" w:cs="Arial"/>
                <w:sz w:val="20"/>
              </w:rPr>
            </w:pPr>
            <w:r w:rsidRPr="006F549F">
              <w:rPr>
                <w:rFonts w:ascii="Arial" w:hAnsi="Arial" w:cs="Arial"/>
                <w:sz w:val="20"/>
              </w:rPr>
              <w:t xml:space="preserve">&gt; </w:t>
            </w:r>
            <w:proofErr w:type="gramStart"/>
            <w:r w:rsidRPr="006F549F">
              <w:rPr>
                <w:rFonts w:ascii="Arial" w:hAnsi="Arial" w:cs="Arial"/>
                <w:sz w:val="20"/>
              </w:rPr>
              <w:t>annual</w:t>
            </w:r>
            <w:proofErr w:type="gramEnd"/>
            <w:r w:rsidRPr="006F549F">
              <w:rPr>
                <w:rFonts w:ascii="Arial" w:hAnsi="Arial" w:cs="Arial"/>
                <w:sz w:val="20"/>
              </w:rPr>
              <w:t xml:space="preserve"> risk management checklist.</w:t>
            </w:r>
          </w:p>
        </w:tc>
      </w:tr>
      <w:tr w:rsidR="00A13A22" w:rsidTr="006F549F">
        <w:tc>
          <w:tcPr>
            <w:tcW w:w="1019" w:type="pct"/>
          </w:tcPr>
          <w:p w:rsidR="00A13A22" w:rsidRPr="009B1373" w:rsidRDefault="00A13A22" w:rsidP="002E5CCD">
            <w:pPr>
              <w:rPr>
                <w:rFonts w:ascii="Arial" w:hAnsi="Arial" w:cs="Arial"/>
                <w:b/>
                <w:sz w:val="20"/>
              </w:rPr>
            </w:pPr>
          </w:p>
        </w:tc>
        <w:tc>
          <w:tcPr>
            <w:tcW w:w="3981" w:type="pct"/>
          </w:tcPr>
          <w:p w:rsidR="00A13A22" w:rsidRDefault="00A13A22" w:rsidP="002E5CCD">
            <w:pPr>
              <w:rPr>
                <w:rFonts w:ascii="Arial" w:hAnsi="Arial" w:cs="Arial"/>
                <w:sz w:val="20"/>
              </w:rPr>
            </w:pPr>
          </w:p>
        </w:tc>
      </w:tr>
      <w:tr w:rsidR="00A13A22" w:rsidTr="006F549F">
        <w:tc>
          <w:tcPr>
            <w:tcW w:w="1019" w:type="pct"/>
          </w:tcPr>
          <w:p w:rsidR="00A13A22" w:rsidRPr="009B1373" w:rsidRDefault="00A13A22" w:rsidP="002E5CCD">
            <w:pPr>
              <w:rPr>
                <w:rFonts w:ascii="Arial" w:hAnsi="Arial" w:cs="Arial"/>
                <w:b/>
                <w:sz w:val="20"/>
              </w:rPr>
            </w:pPr>
            <w:r w:rsidRPr="009B1373">
              <w:rPr>
                <w:rFonts w:ascii="Arial" w:hAnsi="Arial" w:cs="Arial"/>
                <w:b/>
                <w:sz w:val="20"/>
              </w:rPr>
              <w:t>TRAINING</w:t>
            </w:r>
            <w:r w:rsidR="006F549F" w:rsidRPr="009B1373">
              <w:rPr>
                <w:rFonts w:ascii="Arial" w:hAnsi="Arial" w:cs="Arial"/>
                <w:b/>
                <w:sz w:val="20"/>
              </w:rPr>
              <w:t xml:space="preserve"> REQUIREMENTS</w:t>
            </w:r>
          </w:p>
        </w:tc>
        <w:tc>
          <w:tcPr>
            <w:tcW w:w="3981" w:type="pct"/>
          </w:tcPr>
          <w:p w:rsidR="006F549F" w:rsidRPr="006F549F" w:rsidRDefault="006F549F" w:rsidP="006F549F">
            <w:pPr>
              <w:rPr>
                <w:rFonts w:ascii="Arial" w:hAnsi="Arial" w:cs="Arial"/>
                <w:sz w:val="20"/>
              </w:rPr>
            </w:pPr>
            <w:r w:rsidRPr="006F549F">
              <w:rPr>
                <w:rFonts w:ascii="Arial" w:hAnsi="Arial" w:cs="Arial"/>
                <w:sz w:val="20"/>
              </w:rPr>
              <w:t xml:space="preserve">Ministerial Order 706 requires schools to provide regular training and updates for school staff in recognising and responding appropriately to an anaphylactic reaction, including competently administering an </w:t>
            </w:r>
            <w:proofErr w:type="spellStart"/>
            <w:r w:rsidRPr="006F549F">
              <w:rPr>
                <w:rFonts w:ascii="Arial" w:hAnsi="Arial" w:cs="Arial"/>
                <w:sz w:val="20"/>
              </w:rPr>
              <w:t>EpiPen</w:t>
            </w:r>
            <w:proofErr w:type="spellEnd"/>
            <w:r w:rsidRPr="006F549F">
              <w:rPr>
                <w:rFonts w:ascii="Arial" w:hAnsi="Arial" w:cs="Arial"/>
                <w:sz w:val="20"/>
              </w:rPr>
              <w:t>/</w:t>
            </w:r>
            <w:proofErr w:type="spellStart"/>
            <w:r w:rsidRPr="006F549F">
              <w:rPr>
                <w:rFonts w:ascii="Arial" w:hAnsi="Arial" w:cs="Arial"/>
                <w:sz w:val="20"/>
              </w:rPr>
              <w:t>Anapen</w:t>
            </w:r>
            <w:proofErr w:type="spellEnd"/>
            <w:r w:rsidRPr="006F549F">
              <w:rPr>
                <w:rFonts w:ascii="Arial" w:hAnsi="Arial" w:cs="Arial"/>
                <w:sz w:val="20"/>
              </w:rPr>
              <w:t>.</w:t>
            </w:r>
          </w:p>
          <w:p w:rsidR="006F549F" w:rsidRPr="006F549F" w:rsidRDefault="006F549F" w:rsidP="006F549F">
            <w:pPr>
              <w:rPr>
                <w:rFonts w:ascii="Arial" w:hAnsi="Arial" w:cs="Arial"/>
                <w:sz w:val="20"/>
              </w:rPr>
            </w:pPr>
            <w:r w:rsidRPr="006F549F">
              <w:rPr>
                <w:rFonts w:ascii="Arial" w:hAnsi="Arial" w:cs="Arial"/>
                <w:sz w:val="20"/>
              </w:rPr>
              <w:t>Accredited anaphylaxis management that meets the requirements of Ministerial Order 706 are:</w:t>
            </w:r>
          </w:p>
          <w:p w:rsidR="006F549F" w:rsidRPr="006F549F" w:rsidRDefault="006F549F" w:rsidP="006F549F">
            <w:pPr>
              <w:rPr>
                <w:rFonts w:ascii="Arial" w:hAnsi="Arial" w:cs="Arial"/>
                <w:sz w:val="20"/>
              </w:rPr>
            </w:pPr>
            <w:r w:rsidRPr="006F549F">
              <w:rPr>
                <w:rFonts w:ascii="Arial" w:hAnsi="Arial" w:cs="Arial"/>
                <w:sz w:val="20"/>
              </w:rPr>
              <w:t>&gt; Course in First Aid Management of Anaphylaxis 22099VIC</w:t>
            </w:r>
          </w:p>
          <w:p w:rsidR="006F549F" w:rsidRPr="006F549F" w:rsidRDefault="006F549F" w:rsidP="006F549F">
            <w:pPr>
              <w:rPr>
                <w:rFonts w:ascii="Arial" w:hAnsi="Arial" w:cs="Arial"/>
                <w:sz w:val="20"/>
              </w:rPr>
            </w:pPr>
            <w:r w:rsidRPr="006F549F">
              <w:rPr>
                <w:rFonts w:ascii="Arial" w:hAnsi="Arial" w:cs="Arial"/>
                <w:sz w:val="20"/>
              </w:rPr>
              <w:t>&gt; Course in Anaphylaxis Awareness 10313NAT.</w:t>
            </w:r>
          </w:p>
          <w:p w:rsidR="006F549F" w:rsidRPr="006F549F" w:rsidRDefault="006F549F" w:rsidP="006F549F">
            <w:pPr>
              <w:rPr>
                <w:rFonts w:ascii="Arial" w:hAnsi="Arial" w:cs="Arial"/>
                <w:sz w:val="20"/>
              </w:rPr>
            </w:pPr>
            <w:r w:rsidRPr="006F549F">
              <w:rPr>
                <w:rFonts w:ascii="Arial" w:hAnsi="Arial" w:cs="Arial"/>
                <w:sz w:val="20"/>
              </w:rPr>
              <w:t>Training Provider</w:t>
            </w:r>
          </w:p>
          <w:p w:rsidR="006F549F" w:rsidRPr="006F549F" w:rsidRDefault="006F549F" w:rsidP="006F549F">
            <w:pPr>
              <w:rPr>
                <w:rFonts w:ascii="Arial" w:hAnsi="Arial" w:cs="Arial"/>
                <w:sz w:val="20"/>
              </w:rPr>
            </w:pPr>
            <w:r w:rsidRPr="006F549F">
              <w:rPr>
                <w:rFonts w:ascii="Arial" w:hAnsi="Arial" w:cs="Arial"/>
                <w:sz w:val="20"/>
              </w:rPr>
              <w:t>St John Ambulance Victoria has been selected to assist the Department with providing anaphylaxis management training to Victorian school staff at no expense to government schools.</w:t>
            </w:r>
          </w:p>
          <w:p w:rsidR="006F549F" w:rsidRPr="006F549F" w:rsidRDefault="006F549F" w:rsidP="006F549F">
            <w:pPr>
              <w:rPr>
                <w:rFonts w:ascii="Arial" w:hAnsi="Arial" w:cs="Arial"/>
                <w:sz w:val="20"/>
              </w:rPr>
            </w:pPr>
            <w:r w:rsidRPr="006F549F">
              <w:rPr>
                <w:rFonts w:ascii="Arial" w:hAnsi="Arial" w:cs="Arial"/>
                <w:sz w:val="20"/>
              </w:rPr>
              <w:t>St John Ambulance Victoria will provide a three-hour training program accredited by the Victorian Registration and Qualifications Authority. The program is for staff in schools that have an enrolled student diagnosed as being at risk of an anaphylactic reaction. This course will be valid for three years provided that the school meets the requirements of section 12.2.2 of Ministerial Order 706 to provide a briefing on anaphylaxis management twice per year to all staff, including those who have received training.</w:t>
            </w:r>
          </w:p>
          <w:p w:rsidR="00A13A22" w:rsidRDefault="006F549F" w:rsidP="006F549F">
            <w:pPr>
              <w:rPr>
                <w:rFonts w:ascii="Arial" w:hAnsi="Arial" w:cs="Arial"/>
                <w:sz w:val="20"/>
              </w:rPr>
            </w:pPr>
            <w:r w:rsidRPr="006F549F">
              <w:rPr>
                <w:rFonts w:ascii="Arial" w:hAnsi="Arial" w:cs="Arial"/>
                <w:sz w:val="20"/>
              </w:rPr>
              <w:t>Schools with a student diagnosed at risk of anaphylaxis should contact St John Ambulance Victoria on (03) 8588 8391 to organise training for staff in anaphylaxis management.</w:t>
            </w:r>
          </w:p>
        </w:tc>
      </w:tr>
      <w:tr w:rsidR="00A13A22" w:rsidTr="006F549F">
        <w:tc>
          <w:tcPr>
            <w:tcW w:w="1019" w:type="pct"/>
          </w:tcPr>
          <w:p w:rsidR="00A13A22" w:rsidRPr="009B1373" w:rsidRDefault="00A13A22" w:rsidP="002E5CCD">
            <w:pPr>
              <w:rPr>
                <w:rFonts w:ascii="Arial" w:hAnsi="Arial" w:cs="Arial"/>
                <w:b/>
                <w:sz w:val="20"/>
              </w:rPr>
            </w:pPr>
          </w:p>
        </w:tc>
        <w:tc>
          <w:tcPr>
            <w:tcW w:w="3981" w:type="pct"/>
          </w:tcPr>
          <w:p w:rsidR="00A13A22" w:rsidRDefault="00A13A22" w:rsidP="002E5CCD">
            <w:pPr>
              <w:rPr>
                <w:rFonts w:ascii="Arial" w:hAnsi="Arial" w:cs="Arial"/>
                <w:sz w:val="20"/>
              </w:rPr>
            </w:pPr>
          </w:p>
        </w:tc>
      </w:tr>
      <w:tr w:rsidR="006F549F" w:rsidTr="006F549F">
        <w:tc>
          <w:tcPr>
            <w:tcW w:w="1019" w:type="pct"/>
          </w:tcPr>
          <w:p w:rsidR="006F549F" w:rsidRPr="009B1373" w:rsidRDefault="006F549F" w:rsidP="00E926C3">
            <w:pPr>
              <w:rPr>
                <w:rFonts w:ascii="Arial" w:hAnsi="Arial" w:cs="Arial"/>
                <w:b/>
                <w:sz w:val="20"/>
              </w:rPr>
            </w:pPr>
            <w:r w:rsidRPr="009B1373">
              <w:rPr>
                <w:rFonts w:ascii="Arial" w:hAnsi="Arial" w:cs="Arial"/>
                <w:b/>
                <w:sz w:val="20"/>
              </w:rPr>
              <w:t>BRIEFING REQUIREMENTS</w:t>
            </w:r>
          </w:p>
        </w:tc>
        <w:tc>
          <w:tcPr>
            <w:tcW w:w="3981" w:type="pct"/>
          </w:tcPr>
          <w:p w:rsidR="006F549F" w:rsidRPr="006F549F" w:rsidRDefault="006F549F" w:rsidP="006F549F">
            <w:pPr>
              <w:rPr>
                <w:rFonts w:ascii="Arial" w:hAnsi="Arial" w:cs="Arial"/>
                <w:sz w:val="20"/>
              </w:rPr>
            </w:pPr>
            <w:r w:rsidRPr="006F549F">
              <w:rPr>
                <w:rFonts w:ascii="Arial" w:hAnsi="Arial" w:cs="Arial"/>
                <w:sz w:val="20"/>
              </w:rPr>
              <w:t xml:space="preserve">All schools with a child or young person at risk of an anaphylactic reaction are required to undertake twice yearly briefings on anaphylaxis management under Ministerial Order 706. </w:t>
            </w:r>
          </w:p>
          <w:p w:rsidR="006F549F" w:rsidRPr="006F549F" w:rsidRDefault="006F549F" w:rsidP="006F549F">
            <w:pPr>
              <w:rPr>
                <w:rFonts w:ascii="Arial" w:hAnsi="Arial" w:cs="Arial"/>
                <w:sz w:val="20"/>
              </w:rPr>
            </w:pPr>
            <w:r w:rsidRPr="006F549F">
              <w:rPr>
                <w:rFonts w:ascii="Arial" w:hAnsi="Arial" w:cs="Arial"/>
                <w:sz w:val="20"/>
              </w:rPr>
              <w:t>Page 1 of 3Anaphylaxis</w:t>
            </w:r>
          </w:p>
          <w:p w:rsidR="006F549F" w:rsidRPr="006F549F" w:rsidRDefault="006F549F" w:rsidP="006F549F">
            <w:pPr>
              <w:rPr>
                <w:rFonts w:ascii="Arial" w:hAnsi="Arial" w:cs="Arial"/>
                <w:sz w:val="20"/>
              </w:rPr>
            </w:pPr>
            <w:r w:rsidRPr="006F549F">
              <w:rPr>
                <w:rFonts w:ascii="Arial" w:hAnsi="Arial" w:cs="Arial"/>
                <w:sz w:val="20"/>
              </w:rPr>
              <w:t>16/06/2014http://www.education.vic.gov.au/school/principals/spag/health/Pages/anaphylaxis.aspx</w:t>
            </w:r>
          </w:p>
          <w:p w:rsidR="006F549F" w:rsidRPr="006F549F" w:rsidRDefault="006F549F" w:rsidP="006F549F">
            <w:pPr>
              <w:rPr>
                <w:rFonts w:ascii="Arial" w:hAnsi="Arial" w:cs="Arial"/>
                <w:sz w:val="20"/>
              </w:rPr>
            </w:pPr>
            <w:r w:rsidRPr="006F549F">
              <w:rPr>
                <w:rFonts w:ascii="Arial" w:hAnsi="Arial" w:cs="Arial"/>
                <w:sz w:val="20"/>
              </w:rPr>
              <w:t xml:space="preserve">A presentation has been developed to help schools ensure they are complying with the legislation and incorporates information on how to administer both an </w:t>
            </w:r>
            <w:proofErr w:type="spellStart"/>
            <w:r w:rsidRPr="006F549F">
              <w:rPr>
                <w:rFonts w:ascii="Arial" w:hAnsi="Arial" w:cs="Arial"/>
                <w:sz w:val="20"/>
              </w:rPr>
              <w:t>EpiPen</w:t>
            </w:r>
            <w:proofErr w:type="spellEnd"/>
            <w:r w:rsidRPr="006F549F">
              <w:rPr>
                <w:rFonts w:ascii="Arial" w:hAnsi="Arial" w:cs="Arial"/>
                <w:sz w:val="20"/>
              </w:rPr>
              <w:t xml:space="preserve"> and </w:t>
            </w:r>
            <w:r w:rsidRPr="006F549F">
              <w:rPr>
                <w:rFonts w:ascii="Arial" w:hAnsi="Arial" w:cs="Arial"/>
                <w:sz w:val="20"/>
              </w:rPr>
              <w:lastRenderedPageBreak/>
              <w:t xml:space="preserve">an </w:t>
            </w:r>
            <w:proofErr w:type="spellStart"/>
            <w:r w:rsidRPr="006F549F">
              <w:rPr>
                <w:rFonts w:ascii="Arial" w:hAnsi="Arial" w:cs="Arial"/>
                <w:sz w:val="20"/>
              </w:rPr>
              <w:t>Anapen</w:t>
            </w:r>
            <w:proofErr w:type="spellEnd"/>
            <w:r w:rsidRPr="006F549F">
              <w:rPr>
                <w:rFonts w:ascii="Arial" w:hAnsi="Arial" w:cs="Arial"/>
                <w:sz w:val="20"/>
              </w:rPr>
              <w:t xml:space="preserve">.  It is expected all staff will practice with the replica </w:t>
            </w:r>
            <w:proofErr w:type="spellStart"/>
            <w:r w:rsidRPr="006F549F">
              <w:rPr>
                <w:rFonts w:ascii="Arial" w:hAnsi="Arial" w:cs="Arial"/>
                <w:sz w:val="20"/>
              </w:rPr>
              <w:t>EpiPen</w:t>
            </w:r>
            <w:proofErr w:type="spellEnd"/>
            <w:r w:rsidRPr="006F549F">
              <w:rPr>
                <w:rFonts w:ascii="Arial" w:hAnsi="Arial" w:cs="Arial"/>
                <w:sz w:val="20"/>
              </w:rPr>
              <w:t xml:space="preserve"> and </w:t>
            </w:r>
            <w:proofErr w:type="spellStart"/>
            <w:r w:rsidRPr="006F549F">
              <w:rPr>
                <w:rFonts w:ascii="Arial" w:hAnsi="Arial" w:cs="Arial"/>
                <w:sz w:val="20"/>
              </w:rPr>
              <w:t>Anapen</w:t>
            </w:r>
            <w:proofErr w:type="spellEnd"/>
            <w:r w:rsidRPr="006F549F">
              <w:rPr>
                <w:rFonts w:ascii="Arial" w:hAnsi="Arial" w:cs="Arial"/>
                <w:sz w:val="20"/>
              </w:rPr>
              <w:t xml:space="preserve"> previously provided. As part of the briefing, school staff should familiarise themselves of the students at the school at risk of an anaphylactic reaction and their anaphylaxis management plans.</w:t>
            </w:r>
          </w:p>
          <w:p w:rsidR="006F549F" w:rsidRDefault="006F549F" w:rsidP="006F549F">
            <w:pPr>
              <w:rPr>
                <w:rFonts w:ascii="Arial" w:hAnsi="Arial" w:cs="Arial"/>
                <w:sz w:val="20"/>
              </w:rPr>
            </w:pPr>
            <w:r w:rsidRPr="006F549F">
              <w:rPr>
                <w:rFonts w:ascii="Arial" w:hAnsi="Arial" w:cs="Arial"/>
                <w:sz w:val="20"/>
              </w:rPr>
              <w:t>Any person who has completed course 22099VIC or 1</w:t>
            </w:r>
          </w:p>
        </w:tc>
      </w:tr>
      <w:tr w:rsidR="006F549F" w:rsidTr="006F549F">
        <w:tc>
          <w:tcPr>
            <w:tcW w:w="1019" w:type="pct"/>
          </w:tcPr>
          <w:p w:rsidR="006F549F" w:rsidRPr="009B1373" w:rsidRDefault="006F549F" w:rsidP="00E926C3">
            <w:pPr>
              <w:rPr>
                <w:rFonts w:ascii="Arial" w:hAnsi="Arial" w:cs="Arial"/>
                <w:b/>
                <w:sz w:val="20"/>
              </w:rPr>
            </w:pPr>
          </w:p>
        </w:tc>
        <w:tc>
          <w:tcPr>
            <w:tcW w:w="3981" w:type="pct"/>
          </w:tcPr>
          <w:p w:rsidR="006F549F" w:rsidRDefault="006F549F" w:rsidP="00E926C3">
            <w:pPr>
              <w:rPr>
                <w:rFonts w:ascii="Arial" w:hAnsi="Arial" w:cs="Arial"/>
                <w:sz w:val="20"/>
              </w:rPr>
            </w:pPr>
          </w:p>
        </w:tc>
      </w:tr>
      <w:tr w:rsidR="00A13A22" w:rsidTr="006F549F">
        <w:tc>
          <w:tcPr>
            <w:tcW w:w="1019" w:type="pct"/>
          </w:tcPr>
          <w:p w:rsidR="00A13A22" w:rsidRPr="009B1373" w:rsidRDefault="00A13A22" w:rsidP="002E5CCD">
            <w:pPr>
              <w:rPr>
                <w:rFonts w:ascii="Arial" w:hAnsi="Arial" w:cs="Arial"/>
                <w:b/>
                <w:sz w:val="20"/>
              </w:rPr>
            </w:pPr>
            <w:r w:rsidRPr="009B1373">
              <w:rPr>
                <w:rFonts w:ascii="Arial" w:hAnsi="Arial" w:cs="Arial"/>
                <w:b/>
                <w:sz w:val="20"/>
              </w:rPr>
              <w:t>DEFINITION</w:t>
            </w:r>
          </w:p>
        </w:tc>
        <w:tc>
          <w:tcPr>
            <w:tcW w:w="3981" w:type="pct"/>
          </w:tcPr>
          <w:p w:rsidR="006F549F" w:rsidRPr="006F549F" w:rsidRDefault="006F549F" w:rsidP="006F549F">
            <w:pPr>
              <w:rPr>
                <w:rFonts w:ascii="Arial" w:hAnsi="Arial" w:cs="Arial"/>
                <w:sz w:val="20"/>
              </w:rPr>
            </w:pPr>
            <w:r w:rsidRPr="006F549F">
              <w:rPr>
                <w:rFonts w:ascii="Arial" w:hAnsi="Arial" w:cs="Arial"/>
                <w:sz w:val="20"/>
              </w:rPr>
              <w:t>Anaphylaxis is severe and sudden allergic reaction when a person is exposed to an allergen. Common allergens for children include:</w:t>
            </w:r>
          </w:p>
          <w:p w:rsidR="006F549F" w:rsidRPr="006F549F" w:rsidRDefault="006F549F" w:rsidP="006F549F">
            <w:pPr>
              <w:rPr>
                <w:rFonts w:ascii="Arial" w:hAnsi="Arial" w:cs="Arial"/>
                <w:sz w:val="20"/>
              </w:rPr>
            </w:pPr>
            <w:r w:rsidRPr="006F549F">
              <w:rPr>
                <w:rFonts w:ascii="Arial" w:hAnsi="Arial" w:cs="Arial"/>
                <w:sz w:val="20"/>
              </w:rPr>
              <w:t>&gt; eggs</w:t>
            </w:r>
          </w:p>
          <w:p w:rsidR="006F549F" w:rsidRPr="006F549F" w:rsidRDefault="006F549F" w:rsidP="006F549F">
            <w:pPr>
              <w:rPr>
                <w:rFonts w:ascii="Arial" w:hAnsi="Arial" w:cs="Arial"/>
                <w:sz w:val="20"/>
              </w:rPr>
            </w:pPr>
            <w:r w:rsidRPr="006F549F">
              <w:rPr>
                <w:rFonts w:ascii="Arial" w:hAnsi="Arial" w:cs="Arial"/>
                <w:sz w:val="20"/>
              </w:rPr>
              <w:t>&gt; peanuts</w:t>
            </w:r>
          </w:p>
          <w:p w:rsidR="006F549F" w:rsidRPr="006F549F" w:rsidRDefault="006F549F" w:rsidP="006F549F">
            <w:pPr>
              <w:rPr>
                <w:rFonts w:ascii="Arial" w:hAnsi="Arial" w:cs="Arial"/>
                <w:sz w:val="20"/>
              </w:rPr>
            </w:pPr>
            <w:r w:rsidRPr="006F549F">
              <w:rPr>
                <w:rFonts w:ascii="Arial" w:hAnsi="Arial" w:cs="Arial"/>
                <w:sz w:val="20"/>
              </w:rPr>
              <w:t>&gt; tree nuts such as cashews</w:t>
            </w:r>
          </w:p>
          <w:p w:rsidR="006F549F" w:rsidRPr="006F549F" w:rsidRDefault="006F549F" w:rsidP="006F549F">
            <w:pPr>
              <w:rPr>
                <w:rFonts w:ascii="Arial" w:hAnsi="Arial" w:cs="Arial"/>
                <w:sz w:val="20"/>
              </w:rPr>
            </w:pPr>
            <w:r w:rsidRPr="006F549F">
              <w:rPr>
                <w:rFonts w:ascii="Arial" w:hAnsi="Arial" w:cs="Arial"/>
                <w:sz w:val="20"/>
              </w:rPr>
              <w:t>&gt; cow's milk</w:t>
            </w:r>
          </w:p>
          <w:p w:rsidR="006F549F" w:rsidRPr="006F549F" w:rsidRDefault="006F549F" w:rsidP="006F549F">
            <w:pPr>
              <w:rPr>
                <w:rFonts w:ascii="Arial" w:hAnsi="Arial" w:cs="Arial"/>
                <w:sz w:val="20"/>
              </w:rPr>
            </w:pPr>
            <w:r w:rsidRPr="006F549F">
              <w:rPr>
                <w:rFonts w:ascii="Arial" w:hAnsi="Arial" w:cs="Arial"/>
                <w:sz w:val="20"/>
              </w:rPr>
              <w:t>&gt; fish and shellfish</w:t>
            </w:r>
          </w:p>
          <w:p w:rsidR="006F549F" w:rsidRPr="006F549F" w:rsidRDefault="006F549F" w:rsidP="006F549F">
            <w:pPr>
              <w:rPr>
                <w:rFonts w:ascii="Arial" w:hAnsi="Arial" w:cs="Arial"/>
                <w:sz w:val="20"/>
              </w:rPr>
            </w:pPr>
            <w:r w:rsidRPr="006F549F">
              <w:rPr>
                <w:rFonts w:ascii="Arial" w:hAnsi="Arial" w:cs="Arial"/>
                <w:sz w:val="20"/>
              </w:rPr>
              <w:t>&gt; wheat</w:t>
            </w:r>
          </w:p>
          <w:p w:rsidR="006F549F" w:rsidRPr="006F549F" w:rsidRDefault="006F549F" w:rsidP="006F549F">
            <w:pPr>
              <w:rPr>
                <w:rFonts w:ascii="Arial" w:hAnsi="Arial" w:cs="Arial"/>
                <w:sz w:val="20"/>
              </w:rPr>
            </w:pPr>
            <w:r w:rsidRPr="006F549F">
              <w:rPr>
                <w:rFonts w:ascii="Arial" w:hAnsi="Arial" w:cs="Arial"/>
                <w:sz w:val="20"/>
              </w:rPr>
              <w:t>&gt; soy</w:t>
            </w:r>
          </w:p>
          <w:p w:rsidR="006F549F" w:rsidRPr="006F549F" w:rsidRDefault="006F549F" w:rsidP="006F549F">
            <w:pPr>
              <w:rPr>
                <w:rFonts w:ascii="Arial" w:hAnsi="Arial" w:cs="Arial"/>
                <w:sz w:val="20"/>
              </w:rPr>
            </w:pPr>
            <w:r w:rsidRPr="006F549F">
              <w:rPr>
                <w:rFonts w:ascii="Arial" w:hAnsi="Arial" w:cs="Arial"/>
                <w:sz w:val="20"/>
              </w:rPr>
              <w:t xml:space="preserve">&gt; </w:t>
            </w:r>
            <w:proofErr w:type="gramStart"/>
            <w:r w:rsidRPr="006F549F">
              <w:rPr>
                <w:rFonts w:ascii="Arial" w:hAnsi="Arial" w:cs="Arial"/>
                <w:sz w:val="20"/>
              </w:rPr>
              <w:t>insect</w:t>
            </w:r>
            <w:proofErr w:type="gramEnd"/>
            <w:r w:rsidRPr="006F549F">
              <w:rPr>
                <w:rFonts w:ascii="Arial" w:hAnsi="Arial" w:cs="Arial"/>
                <w:sz w:val="20"/>
              </w:rPr>
              <w:t xml:space="preserve"> stings​. </w:t>
            </w:r>
          </w:p>
          <w:p w:rsidR="006F549F" w:rsidRPr="006F549F" w:rsidRDefault="006F549F" w:rsidP="006F549F">
            <w:pPr>
              <w:rPr>
                <w:rFonts w:ascii="Arial" w:hAnsi="Arial" w:cs="Arial"/>
                <w:sz w:val="20"/>
              </w:rPr>
            </w:pPr>
            <w:r w:rsidRPr="006F549F">
              <w:rPr>
                <w:rFonts w:ascii="Arial" w:hAnsi="Arial" w:cs="Arial"/>
                <w:sz w:val="20"/>
              </w:rPr>
              <w:t xml:space="preserve">&gt; </w:t>
            </w:r>
            <w:proofErr w:type="gramStart"/>
            <w:r w:rsidRPr="006F549F">
              <w:rPr>
                <w:rFonts w:ascii="Arial" w:hAnsi="Arial" w:cs="Arial"/>
                <w:sz w:val="20"/>
              </w:rPr>
              <w:t>medications</w:t>
            </w:r>
            <w:proofErr w:type="gramEnd"/>
            <w:r w:rsidRPr="006F549F">
              <w:rPr>
                <w:rFonts w:ascii="Arial" w:hAnsi="Arial" w:cs="Arial"/>
                <w:sz w:val="20"/>
              </w:rPr>
              <w:t>.</w:t>
            </w:r>
          </w:p>
          <w:p w:rsidR="006F549F" w:rsidRPr="006F549F" w:rsidRDefault="006F549F" w:rsidP="006F549F">
            <w:pPr>
              <w:rPr>
                <w:rFonts w:ascii="Arial" w:hAnsi="Arial" w:cs="Arial"/>
                <w:sz w:val="20"/>
              </w:rPr>
            </w:pPr>
            <w:r w:rsidRPr="006F549F">
              <w:rPr>
                <w:rFonts w:ascii="Arial" w:hAnsi="Arial" w:cs="Arial"/>
                <w:sz w:val="20"/>
              </w:rPr>
              <w:t>Symptoms include:</w:t>
            </w:r>
          </w:p>
          <w:p w:rsidR="006F549F" w:rsidRPr="006F549F" w:rsidRDefault="006F549F" w:rsidP="006F549F">
            <w:pPr>
              <w:rPr>
                <w:rFonts w:ascii="Arial" w:hAnsi="Arial" w:cs="Arial"/>
                <w:sz w:val="20"/>
              </w:rPr>
            </w:pPr>
            <w:r w:rsidRPr="006F549F">
              <w:rPr>
                <w:rFonts w:ascii="Arial" w:hAnsi="Arial" w:cs="Arial"/>
                <w:sz w:val="20"/>
              </w:rPr>
              <w:t>&gt; noisy or difficult breathing including wheezing or persistent coughing</w:t>
            </w:r>
          </w:p>
          <w:p w:rsidR="006F549F" w:rsidRPr="006F549F" w:rsidRDefault="006F549F" w:rsidP="006F549F">
            <w:pPr>
              <w:rPr>
                <w:rFonts w:ascii="Arial" w:hAnsi="Arial" w:cs="Arial"/>
                <w:sz w:val="20"/>
              </w:rPr>
            </w:pPr>
            <w:r w:rsidRPr="006F549F">
              <w:rPr>
                <w:rFonts w:ascii="Arial" w:hAnsi="Arial" w:cs="Arial"/>
                <w:sz w:val="20"/>
              </w:rPr>
              <w:t>&gt; swelling of the tongue</w:t>
            </w:r>
          </w:p>
          <w:p w:rsidR="006F549F" w:rsidRPr="006F549F" w:rsidRDefault="006F549F" w:rsidP="006F549F">
            <w:pPr>
              <w:rPr>
                <w:rFonts w:ascii="Arial" w:hAnsi="Arial" w:cs="Arial"/>
                <w:sz w:val="20"/>
              </w:rPr>
            </w:pPr>
            <w:r w:rsidRPr="006F549F">
              <w:rPr>
                <w:rFonts w:ascii="Arial" w:hAnsi="Arial" w:cs="Arial"/>
                <w:sz w:val="20"/>
              </w:rPr>
              <w:t>&gt; swelling or tightness in the throat</w:t>
            </w:r>
          </w:p>
          <w:p w:rsidR="006F549F" w:rsidRPr="006F549F" w:rsidRDefault="006F549F" w:rsidP="006F549F">
            <w:pPr>
              <w:rPr>
                <w:rFonts w:ascii="Arial" w:hAnsi="Arial" w:cs="Arial"/>
                <w:sz w:val="20"/>
              </w:rPr>
            </w:pPr>
            <w:r w:rsidRPr="006F549F">
              <w:rPr>
                <w:rFonts w:ascii="Arial" w:hAnsi="Arial" w:cs="Arial"/>
                <w:sz w:val="20"/>
              </w:rPr>
              <w:t>&gt; difficulty talking such as a hoarse voice</w:t>
            </w:r>
          </w:p>
          <w:p w:rsidR="006F549F" w:rsidRPr="006F549F" w:rsidRDefault="006F549F" w:rsidP="006F549F">
            <w:pPr>
              <w:rPr>
                <w:rFonts w:ascii="Arial" w:hAnsi="Arial" w:cs="Arial"/>
                <w:sz w:val="20"/>
              </w:rPr>
            </w:pPr>
            <w:r w:rsidRPr="006F549F">
              <w:rPr>
                <w:rFonts w:ascii="Arial" w:hAnsi="Arial" w:cs="Arial"/>
                <w:sz w:val="20"/>
              </w:rPr>
              <w:t>&gt; loss of consciousness and/or collapse</w:t>
            </w:r>
          </w:p>
          <w:p w:rsidR="00A13A22" w:rsidRDefault="006F549F" w:rsidP="006F549F">
            <w:pPr>
              <w:rPr>
                <w:rFonts w:ascii="Arial" w:hAnsi="Arial" w:cs="Arial"/>
                <w:sz w:val="20"/>
              </w:rPr>
            </w:pPr>
            <w:r w:rsidRPr="006F549F">
              <w:rPr>
                <w:rFonts w:ascii="Arial" w:hAnsi="Arial" w:cs="Arial"/>
                <w:sz w:val="20"/>
              </w:rPr>
              <w:t xml:space="preserve">&gt; </w:t>
            </w:r>
            <w:proofErr w:type="gramStart"/>
            <w:r w:rsidRPr="006F549F">
              <w:rPr>
                <w:rFonts w:ascii="Arial" w:hAnsi="Arial" w:cs="Arial"/>
                <w:sz w:val="20"/>
              </w:rPr>
              <w:t>pale</w:t>
            </w:r>
            <w:proofErr w:type="gramEnd"/>
            <w:r w:rsidRPr="006F549F">
              <w:rPr>
                <w:rFonts w:ascii="Arial" w:hAnsi="Arial" w:cs="Arial"/>
                <w:sz w:val="20"/>
              </w:rPr>
              <w:t xml:space="preserve"> pallor and floppiness in young children.</w:t>
            </w:r>
          </w:p>
        </w:tc>
      </w:tr>
      <w:tr w:rsidR="00A13A22" w:rsidTr="006F549F">
        <w:tc>
          <w:tcPr>
            <w:tcW w:w="1019" w:type="pct"/>
          </w:tcPr>
          <w:p w:rsidR="00A13A22" w:rsidRPr="009B1373" w:rsidRDefault="00A13A22" w:rsidP="002E5CCD">
            <w:pPr>
              <w:rPr>
                <w:rFonts w:ascii="Arial" w:hAnsi="Arial" w:cs="Arial"/>
                <w:b/>
                <w:sz w:val="20"/>
              </w:rPr>
            </w:pPr>
          </w:p>
        </w:tc>
        <w:tc>
          <w:tcPr>
            <w:tcW w:w="3981" w:type="pct"/>
          </w:tcPr>
          <w:p w:rsidR="00A13A22" w:rsidRDefault="00A13A22" w:rsidP="002E5CCD">
            <w:pPr>
              <w:rPr>
                <w:rFonts w:ascii="Arial" w:hAnsi="Arial" w:cs="Arial"/>
                <w:sz w:val="20"/>
              </w:rPr>
            </w:pPr>
          </w:p>
        </w:tc>
      </w:tr>
      <w:tr w:rsidR="00A13A22" w:rsidTr="006F549F">
        <w:tc>
          <w:tcPr>
            <w:tcW w:w="1019" w:type="pct"/>
          </w:tcPr>
          <w:p w:rsidR="00A13A22" w:rsidRPr="009B1373" w:rsidRDefault="006F549F" w:rsidP="002E5CCD">
            <w:pPr>
              <w:rPr>
                <w:rFonts w:ascii="Arial" w:hAnsi="Arial" w:cs="Arial"/>
                <w:b/>
                <w:sz w:val="20"/>
              </w:rPr>
            </w:pPr>
            <w:r w:rsidRPr="009B1373">
              <w:rPr>
                <w:rFonts w:ascii="Arial" w:hAnsi="Arial" w:cs="Arial"/>
                <w:b/>
                <w:sz w:val="20"/>
              </w:rPr>
              <w:t xml:space="preserve">IMPACT AT </w:t>
            </w:r>
            <w:r w:rsidR="00A13A22" w:rsidRPr="009B1373">
              <w:rPr>
                <w:rFonts w:ascii="Arial" w:hAnsi="Arial" w:cs="Arial"/>
                <w:b/>
                <w:sz w:val="20"/>
              </w:rPr>
              <w:t>SCHOOL</w:t>
            </w:r>
          </w:p>
        </w:tc>
        <w:tc>
          <w:tcPr>
            <w:tcW w:w="3981" w:type="pct"/>
          </w:tcPr>
          <w:p w:rsidR="006F549F" w:rsidRPr="006F549F" w:rsidRDefault="006F549F" w:rsidP="006F549F">
            <w:pPr>
              <w:rPr>
                <w:rFonts w:ascii="Arial" w:hAnsi="Arial" w:cs="Arial"/>
                <w:sz w:val="20"/>
              </w:rPr>
            </w:pPr>
            <w:r w:rsidRPr="006F549F">
              <w:rPr>
                <w:rFonts w:ascii="Arial" w:hAnsi="Arial" w:cs="Arial"/>
                <w:sz w:val="20"/>
              </w:rPr>
              <w:t>An anaphylactic reaction can be traumatic for the student and others witnessing the reaction. In the event of an anaphylactic reaction, students and staff may benefit from post-incident counselling, provided, for example, by the school nurse, guidance officer, student welfare coordinator or school psychologist.</w:t>
            </w:r>
          </w:p>
          <w:p w:rsidR="00A13A22" w:rsidRDefault="006F549F" w:rsidP="006F549F">
            <w:pPr>
              <w:rPr>
                <w:rFonts w:ascii="Arial" w:hAnsi="Arial" w:cs="Arial"/>
                <w:sz w:val="20"/>
              </w:rPr>
            </w:pPr>
            <w:r w:rsidRPr="006F549F">
              <w:rPr>
                <w:rFonts w:ascii="Arial" w:hAnsi="Arial" w:cs="Arial"/>
                <w:sz w:val="20"/>
              </w:rPr>
              <w:t>It is important to be aware that some students with anaphylaxis may not wish to be singled out or seen to be treated differently.</w:t>
            </w:r>
          </w:p>
        </w:tc>
      </w:tr>
    </w:tbl>
    <w:p w:rsidR="00D05C65" w:rsidRDefault="00D05C65" w:rsidP="004E4994">
      <w:pPr>
        <w:rPr>
          <w:rFonts w:ascii="Arial" w:hAnsi="Arial" w:cs="Arial"/>
          <w:sz w:val="20"/>
        </w:rPr>
      </w:pPr>
    </w:p>
    <w:tbl>
      <w:tblPr>
        <w:tblStyle w:val="TableGrid"/>
        <w:tblW w:w="5000" w:type="pct"/>
        <w:tblCellMar>
          <w:top w:w="85" w:type="dxa"/>
          <w:bottom w:w="85" w:type="dxa"/>
        </w:tblCellMar>
        <w:tblLook w:val="04A0" w:firstRow="1" w:lastRow="0" w:firstColumn="1" w:lastColumn="0" w:noHBand="0" w:noVBand="1"/>
      </w:tblPr>
      <w:tblGrid>
        <w:gridCol w:w="1980"/>
        <w:gridCol w:w="7756"/>
      </w:tblGrid>
      <w:tr w:rsidR="006F549F" w:rsidRPr="00D05C65" w:rsidTr="008E488E">
        <w:tc>
          <w:tcPr>
            <w:tcW w:w="1017" w:type="pct"/>
          </w:tcPr>
          <w:p w:rsidR="006F549F" w:rsidRPr="009B1373" w:rsidRDefault="006F549F" w:rsidP="00E926C3">
            <w:pPr>
              <w:rPr>
                <w:rFonts w:ascii="Arial" w:hAnsi="Arial" w:cs="Arial"/>
                <w:b/>
                <w:sz w:val="20"/>
              </w:rPr>
            </w:pPr>
            <w:r w:rsidRPr="009B1373">
              <w:rPr>
                <w:rFonts w:ascii="Arial" w:hAnsi="Arial" w:cs="Arial"/>
                <w:b/>
                <w:sz w:val="20"/>
              </w:rPr>
              <w:t>STRATEGIES</w:t>
            </w:r>
          </w:p>
        </w:tc>
        <w:tc>
          <w:tcPr>
            <w:tcW w:w="3983" w:type="pct"/>
          </w:tcPr>
          <w:p w:rsidR="006F549F" w:rsidRPr="00D05C65" w:rsidRDefault="006F549F" w:rsidP="00E926C3">
            <w:pPr>
              <w:rPr>
                <w:rFonts w:ascii="Arial" w:hAnsi="Arial" w:cs="Arial"/>
                <w:sz w:val="20"/>
              </w:rPr>
            </w:pPr>
          </w:p>
        </w:tc>
      </w:tr>
      <w:tr w:rsidR="006F549F" w:rsidRPr="00D05C65" w:rsidTr="008E488E">
        <w:tc>
          <w:tcPr>
            <w:tcW w:w="1017" w:type="pct"/>
          </w:tcPr>
          <w:p w:rsidR="006F549F" w:rsidRPr="009B1373" w:rsidRDefault="006F549F" w:rsidP="00E926C3">
            <w:pPr>
              <w:rPr>
                <w:rFonts w:ascii="Arial" w:hAnsi="Arial" w:cs="Arial"/>
                <w:b/>
                <w:sz w:val="20"/>
              </w:rPr>
            </w:pPr>
          </w:p>
        </w:tc>
        <w:tc>
          <w:tcPr>
            <w:tcW w:w="3983" w:type="pct"/>
          </w:tcPr>
          <w:p w:rsidR="006F549F" w:rsidRPr="00D05C65" w:rsidRDefault="006F549F" w:rsidP="00E926C3">
            <w:pPr>
              <w:rPr>
                <w:rFonts w:ascii="Arial" w:hAnsi="Arial" w:cs="Arial"/>
                <w:sz w:val="20"/>
              </w:rPr>
            </w:pPr>
          </w:p>
        </w:tc>
      </w:tr>
      <w:tr w:rsidR="006F549F" w:rsidRPr="00D05C65" w:rsidTr="008E488E">
        <w:tc>
          <w:tcPr>
            <w:tcW w:w="1017" w:type="pct"/>
          </w:tcPr>
          <w:p w:rsidR="006F549F" w:rsidRPr="009B1373" w:rsidRDefault="006F549F" w:rsidP="00E926C3">
            <w:pPr>
              <w:rPr>
                <w:rFonts w:ascii="Arial" w:hAnsi="Arial" w:cs="Arial"/>
                <w:b/>
                <w:sz w:val="20"/>
              </w:rPr>
            </w:pPr>
            <w:r w:rsidRPr="009B1373">
              <w:rPr>
                <w:rFonts w:ascii="Arial" w:hAnsi="Arial" w:cs="Arial"/>
                <w:b/>
                <w:sz w:val="20"/>
              </w:rPr>
              <w:t>School Anaphylaxis Policy</w:t>
            </w:r>
          </w:p>
        </w:tc>
        <w:tc>
          <w:tcPr>
            <w:tcW w:w="3983" w:type="pct"/>
          </w:tcPr>
          <w:p w:rsidR="006F549F" w:rsidRPr="00D05C65" w:rsidRDefault="006F549F" w:rsidP="00E926C3">
            <w:pPr>
              <w:rPr>
                <w:rFonts w:ascii="Arial" w:hAnsi="Arial" w:cs="Arial"/>
                <w:sz w:val="20"/>
              </w:rPr>
            </w:pPr>
            <w:r w:rsidRPr="00D05C65">
              <w:rPr>
                <w:rFonts w:ascii="Arial" w:hAnsi="Arial" w:cs="Arial"/>
                <w:sz w:val="20"/>
              </w:rPr>
              <w:t>This is a school-based policy that is required to be developed under s 4.3.1(6) of the Act because the school has at least one enrolled student who has been diagnosed as being at risk of anaphylaxis. This policy describes the school's management of the risk of anaphylaxis. Ministerial Order 706 prescribes the matters which the policy must contain.</w:t>
            </w:r>
          </w:p>
        </w:tc>
      </w:tr>
      <w:tr w:rsidR="006F549F" w:rsidRPr="00D05C65" w:rsidTr="008E488E">
        <w:tc>
          <w:tcPr>
            <w:tcW w:w="1017" w:type="pct"/>
          </w:tcPr>
          <w:p w:rsidR="006F549F" w:rsidRPr="009B1373" w:rsidRDefault="006F549F" w:rsidP="00E926C3">
            <w:pPr>
              <w:rPr>
                <w:rFonts w:ascii="Arial" w:hAnsi="Arial" w:cs="Arial"/>
                <w:b/>
                <w:sz w:val="20"/>
              </w:rPr>
            </w:pPr>
          </w:p>
        </w:tc>
        <w:tc>
          <w:tcPr>
            <w:tcW w:w="3983" w:type="pct"/>
          </w:tcPr>
          <w:p w:rsidR="006F549F" w:rsidRPr="00D05C65" w:rsidRDefault="006F549F" w:rsidP="00E926C3">
            <w:pPr>
              <w:rPr>
                <w:rFonts w:ascii="Arial" w:hAnsi="Arial" w:cs="Arial"/>
                <w:sz w:val="20"/>
              </w:rPr>
            </w:pPr>
          </w:p>
        </w:tc>
      </w:tr>
      <w:tr w:rsidR="006F549F" w:rsidRPr="00D05C65" w:rsidTr="008E488E">
        <w:tc>
          <w:tcPr>
            <w:tcW w:w="1017" w:type="pct"/>
          </w:tcPr>
          <w:p w:rsidR="006F549F" w:rsidRPr="009B1373" w:rsidRDefault="006F549F" w:rsidP="00E926C3">
            <w:pPr>
              <w:rPr>
                <w:rFonts w:ascii="Arial" w:hAnsi="Arial" w:cs="Arial"/>
                <w:b/>
                <w:sz w:val="20"/>
              </w:rPr>
            </w:pPr>
            <w:r w:rsidRPr="009B1373">
              <w:rPr>
                <w:rFonts w:ascii="Arial" w:hAnsi="Arial" w:cs="Arial"/>
                <w:b/>
                <w:sz w:val="20"/>
              </w:rPr>
              <w:t>Prevention Strategies​</w:t>
            </w:r>
          </w:p>
        </w:tc>
        <w:tc>
          <w:tcPr>
            <w:tcW w:w="3983" w:type="pct"/>
          </w:tcPr>
          <w:p w:rsidR="006F549F" w:rsidRPr="00D05C65" w:rsidRDefault="006F549F" w:rsidP="00E926C3">
            <w:pPr>
              <w:rPr>
                <w:rFonts w:ascii="Arial" w:hAnsi="Arial" w:cs="Arial"/>
                <w:sz w:val="20"/>
              </w:rPr>
            </w:pPr>
            <w:r w:rsidRPr="00D05C65">
              <w:rPr>
                <w:rFonts w:ascii="Arial" w:hAnsi="Arial" w:cs="Arial"/>
                <w:sz w:val="20"/>
              </w:rPr>
              <w:t>Under Ministerial Order 706, a School’s Policy must include prevention strategies used by the School to minimise the risk of an anaphylactic reaction.​</w:t>
            </w:r>
          </w:p>
        </w:tc>
      </w:tr>
      <w:tr w:rsidR="006F549F" w:rsidRPr="00D05C65" w:rsidTr="008E488E">
        <w:tc>
          <w:tcPr>
            <w:tcW w:w="1017" w:type="pct"/>
          </w:tcPr>
          <w:p w:rsidR="006F549F" w:rsidRPr="009B1373" w:rsidRDefault="006F549F" w:rsidP="00E926C3">
            <w:pPr>
              <w:rPr>
                <w:rFonts w:ascii="Arial" w:hAnsi="Arial" w:cs="Arial"/>
                <w:b/>
                <w:sz w:val="20"/>
              </w:rPr>
            </w:pPr>
          </w:p>
        </w:tc>
        <w:tc>
          <w:tcPr>
            <w:tcW w:w="3983" w:type="pct"/>
          </w:tcPr>
          <w:p w:rsidR="006F549F" w:rsidRPr="00D05C65" w:rsidRDefault="006F549F" w:rsidP="00E926C3">
            <w:pPr>
              <w:rPr>
                <w:rFonts w:ascii="Arial" w:hAnsi="Arial" w:cs="Arial"/>
                <w:sz w:val="20"/>
              </w:rPr>
            </w:pPr>
          </w:p>
        </w:tc>
      </w:tr>
      <w:tr w:rsidR="006F549F" w:rsidRPr="00D05C65" w:rsidTr="008E488E">
        <w:tc>
          <w:tcPr>
            <w:tcW w:w="1017" w:type="pct"/>
          </w:tcPr>
          <w:p w:rsidR="006F549F" w:rsidRPr="009B1373" w:rsidRDefault="006F549F" w:rsidP="00E926C3">
            <w:pPr>
              <w:rPr>
                <w:rFonts w:ascii="Arial" w:hAnsi="Arial" w:cs="Arial"/>
                <w:b/>
                <w:sz w:val="20"/>
              </w:rPr>
            </w:pPr>
            <w:r w:rsidRPr="009B1373">
              <w:rPr>
                <w:rFonts w:ascii="Arial" w:hAnsi="Arial" w:cs="Arial"/>
                <w:b/>
                <w:sz w:val="20"/>
              </w:rPr>
              <w:t>Communication Plan​</w:t>
            </w:r>
          </w:p>
        </w:tc>
        <w:tc>
          <w:tcPr>
            <w:tcW w:w="3983" w:type="pct"/>
          </w:tcPr>
          <w:p w:rsidR="006F549F" w:rsidRPr="00D05C65" w:rsidRDefault="006F549F" w:rsidP="00E926C3">
            <w:pPr>
              <w:rPr>
                <w:rFonts w:ascii="Arial" w:hAnsi="Arial" w:cs="Arial"/>
                <w:sz w:val="20"/>
              </w:rPr>
            </w:pPr>
            <w:r w:rsidRPr="00D05C65">
              <w:rPr>
                <w:rFonts w:ascii="Arial" w:hAnsi="Arial" w:cs="Arial"/>
                <w:sz w:val="20"/>
              </w:rPr>
              <w:t>A plan developed by the school which provides information to all school staff, students and parents about anaphylaxis and the School’s Anaphylaxis Management Policy.​</w:t>
            </w:r>
          </w:p>
        </w:tc>
      </w:tr>
      <w:tr w:rsidR="006F549F" w:rsidRPr="00D05C65" w:rsidTr="008E488E">
        <w:tc>
          <w:tcPr>
            <w:tcW w:w="1017" w:type="pct"/>
          </w:tcPr>
          <w:p w:rsidR="006F549F" w:rsidRPr="009B1373" w:rsidRDefault="006F549F" w:rsidP="00E926C3">
            <w:pPr>
              <w:rPr>
                <w:rFonts w:ascii="Arial" w:hAnsi="Arial" w:cs="Arial"/>
                <w:b/>
                <w:sz w:val="20"/>
              </w:rPr>
            </w:pPr>
          </w:p>
        </w:tc>
        <w:tc>
          <w:tcPr>
            <w:tcW w:w="3983" w:type="pct"/>
          </w:tcPr>
          <w:p w:rsidR="006F549F" w:rsidRPr="00D05C65" w:rsidRDefault="006F549F" w:rsidP="00E926C3">
            <w:pPr>
              <w:rPr>
                <w:rFonts w:ascii="Arial" w:hAnsi="Arial" w:cs="Arial"/>
                <w:sz w:val="20"/>
              </w:rPr>
            </w:pPr>
          </w:p>
        </w:tc>
      </w:tr>
      <w:tr w:rsidR="006F549F" w:rsidRPr="00D05C65" w:rsidTr="008E488E">
        <w:tc>
          <w:tcPr>
            <w:tcW w:w="1017" w:type="pct"/>
          </w:tcPr>
          <w:p w:rsidR="006F549F" w:rsidRPr="009B1373" w:rsidRDefault="006F549F" w:rsidP="00E926C3">
            <w:pPr>
              <w:rPr>
                <w:rFonts w:ascii="Arial" w:hAnsi="Arial" w:cs="Arial"/>
                <w:b/>
                <w:sz w:val="20"/>
              </w:rPr>
            </w:pPr>
            <w:r w:rsidRPr="009B1373">
              <w:rPr>
                <w:rFonts w:ascii="Arial" w:hAnsi="Arial" w:cs="Arial"/>
                <w:b/>
                <w:sz w:val="20"/>
              </w:rPr>
              <w:t>Emergency Response​</w:t>
            </w:r>
          </w:p>
        </w:tc>
        <w:tc>
          <w:tcPr>
            <w:tcW w:w="3983" w:type="pct"/>
          </w:tcPr>
          <w:p w:rsidR="006F549F" w:rsidRPr="00D05C65" w:rsidRDefault="006F549F" w:rsidP="00E926C3">
            <w:pPr>
              <w:rPr>
                <w:rFonts w:ascii="Arial" w:hAnsi="Arial" w:cs="Arial"/>
                <w:sz w:val="20"/>
              </w:rPr>
            </w:pPr>
            <w:r w:rsidRPr="00D05C65">
              <w:rPr>
                <w:rFonts w:ascii="Arial" w:hAnsi="Arial" w:cs="Arial"/>
                <w:sz w:val="20"/>
              </w:rPr>
              <w:t>Procedures which each school develops for emergency response to anaphylactic reactions for all in-school and out-of-school activities. The procedures, which are included in the School’s Anaphylaxis Management Policy, differ from the instructions listed on the ASCIA Action Plan of ‘how to administer the Adrenaline Auto</w:t>
            </w:r>
            <w:r w:rsidR="008F0577">
              <w:rPr>
                <w:rFonts w:ascii="Arial" w:hAnsi="Arial" w:cs="Arial"/>
                <w:sz w:val="20"/>
              </w:rPr>
              <w:t>-</w:t>
            </w:r>
            <w:r w:rsidRPr="00D05C65">
              <w:rPr>
                <w:rFonts w:ascii="Arial" w:hAnsi="Arial" w:cs="Arial"/>
                <w:sz w:val="20"/>
              </w:rPr>
              <w:t>injector’.​</w:t>
            </w:r>
          </w:p>
        </w:tc>
      </w:tr>
      <w:tr w:rsidR="006F549F" w:rsidRPr="00D05C65" w:rsidTr="008E488E">
        <w:tc>
          <w:tcPr>
            <w:tcW w:w="1017" w:type="pct"/>
          </w:tcPr>
          <w:p w:rsidR="006F549F" w:rsidRPr="009B1373" w:rsidRDefault="006F549F" w:rsidP="00E926C3">
            <w:pPr>
              <w:rPr>
                <w:rFonts w:ascii="Arial" w:hAnsi="Arial" w:cs="Arial"/>
                <w:b/>
                <w:sz w:val="20"/>
              </w:rPr>
            </w:pPr>
          </w:p>
        </w:tc>
        <w:tc>
          <w:tcPr>
            <w:tcW w:w="3983" w:type="pct"/>
          </w:tcPr>
          <w:p w:rsidR="006F549F" w:rsidRPr="00D05C65" w:rsidRDefault="006F549F" w:rsidP="00E926C3">
            <w:pPr>
              <w:rPr>
                <w:rFonts w:ascii="Arial" w:hAnsi="Arial" w:cs="Arial"/>
                <w:sz w:val="20"/>
              </w:rPr>
            </w:pPr>
          </w:p>
        </w:tc>
      </w:tr>
      <w:tr w:rsidR="006F549F" w:rsidRPr="00D05C65" w:rsidTr="008E488E">
        <w:tc>
          <w:tcPr>
            <w:tcW w:w="1017" w:type="pct"/>
          </w:tcPr>
          <w:p w:rsidR="006F549F" w:rsidRPr="009B1373" w:rsidRDefault="006F549F" w:rsidP="00E926C3">
            <w:pPr>
              <w:rPr>
                <w:rFonts w:ascii="Arial" w:hAnsi="Arial" w:cs="Arial"/>
                <w:b/>
                <w:sz w:val="20"/>
              </w:rPr>
            </w:pPr>
            <w:r w:rsidRPr="009B1373">
              <w:rPr>
                <w:rFonts w:ascii="Arial" w:hAnsi="Arial" w:cs="Arial"/>
                <w:b/>
                <w:sz w:val="20"/>
              </w:rPr>
              <w:t>ASCIA Action Plans​</w:t>
            </w:r>
          </w:p>
        </w:tc>
        <w:tc>
          <w:tcPr>
            <w:tcW w:w="3983" w:type="pct"/>
          </w:tcPr>
          <w:p w:rsidR="006F549F" w:rsidRPr="00D05C65" w:rsidRDefault="006F549F" w:rsidP="00E926C3">
            <w:pPr>
              <w:rPr>
                <w:rFonts w:ascii="Arial" w:hAnsi="Arial" w:cs="Arial"/>
                <w:sz w:val="20"/>
              </w:rPr>
            </w:pPr>
            <w:r w:rsidRPr="00D05C65">
              <w:rPr>
                <w:rFonts w:ascii="Arial" w:hAnsi="Arial" w:cs="Arial"/>
                <w:sz w:val="20"/>
              </w:rPr>
              <w:t>An ASCIA plan should be completed by the student’s parents/guardians in consultation with the student’s medical/health practitioner and a copy provided to the school. The plan must outline the student’s known severe allergies and the emergency procedures to be taken in the event of an allergic reaction.​</w:t>
            </w:r>
          </w:p>
        </w:tc>
      </w:tr>
      <w:tr w:rsidR="006F549F" w:rsidRPr="00D05C65" w:rsidTr="008E488E">
        <w:tc>
          <w:tcPr>
            <w:tcW w:w="1017" w:type="pct"/>
          </w:tcPr>
          <w:p w:rsidR="006F549F" w:rsidRPr="009B1373" w:rsidRDefault="006F549F" w:rsidP="00E926C3">
            <w:pPr>
              <w:rPr>
                <w:rFonts w:ascii="Arial" w:hAnsi="Arial" w:cs="Arial"/>
                <w:b/>
                <w:sz w:val="20"/>
              </w:rPr>
            </w:pPr>
          </w:p>
        </w:tc>
        <w:tc>
          <w:tcPr>
            <w:tcW w:w="3983" w:type="pct"/>
          </w:tcPr>
          <w:p w:rsidR="006F549F" w:rsidRPr="00D05C65" w:rsidRDefault="006F549F" w:rsidP="00E926C3">
            <w:pPr>
              <w:rPr>
                <w:rFonts w:ascii="Arial" w:hAnsi="Arial" w:cs="Arial"/>
                <w:sz w:val="20"/>
              </w:rPr>
            </w:pPr>
          </w:p>
        </w:tc>
      </w:tr>
      <w:tr w:rsidR="006F549F" w:rsidRPr="00D05C65" w:rsidTr="008E488E">
        <w:tc>
          <w:tcPr>
            <w:tcW w:w="1017" w:type="pct"/>
          </w:tcPr>
          <w:p w:rsidR="006F549F" w:rsidRPr="009B1373" w:rsidRDefault="006F549F" w:rsidP="00E926C3">
            <w:pPr>
              <w:rPr>
                <w:rFonts w:ascii="Arial" w:hAnsi="Arial" w:cs="Arial"/>
                <w:b/>
                <w:sz w:val="20"/>
              </w:rPr>
            </w:pPr>
            <w:r w:rsidRPr="009B1373">
              <w:rPr>
                <w:rFonts w:ascii="Arial" w:hAnsi="Arial" w:cs="Arial"/>
                <w:b/>
                <w:sz w:val="20"/>
              </w:rPr>
              <w:t>Individual Management Plans​</w:t>
            </w:r>
          </w:p>
        </w:tc>
        <w:tc>
          <w:tcPr>
            <w:tcW w:w="3983" w:type="pct"/>
          </w:tcPr>
          <w:p w:rsidR="006F549F" w:rsidRPr="00D05C65" w:rsidRDefault="006F549F" w:rsidP="00E926C3">
            <w:pPr>
              <w:rPr>
                <w:rFonts w:ascii="Arial" w:hAnsi="Arial" w:cs="Arial"/>
                <w:sz w:val="20"/>
              </w:rPr>
            </w:pPr>
            <w:r w:rsidRPr="00D05C65">
              <w:rPr>
                <w:rFonts w:ascii="Arial" w:hAnsi="Arial" w:cs="Arial"/>
                <w:sz w:val="20"/>
              </w:rPr>
              <w:t xml:space="preserve">An individual plan for each student at risk of anaphylaxis, developed in consultation with the student's Parents. These plans include the ASCIA Action Plan which describes the student's allergies, symptoms, and the emergency response to administer the student’s Adrenaline </w:t>
            </w:r>
            <w:proofErr w:type="spellStart"/>
            <w:r w:rsidRPr="00D05C65">
              <w:rPr>
                <w:rFonts w:ascii="Arial" w:hAnsi="Arial" w:cs="Arial"/>
                <w:sz w:val="20"/>
              </w:rPr>
              <w:t>Autoinjector</w:t>
            </w:r>
            <w:proofErr w:type="spellEnd"/>
            <w:r w:rsidRPr="00D05C65">
              <w:rPr>
                <w:rFonts w:ascii="Arial" w:hAnsi="Arial" w:cs="Arial"/>
                <w:sz w:val="20"/>
              </w:rPr>
              <w:t xml:space="preserve"> should the student display symptoms of an anaphylactic reaction.​</w:t>
            </w:r>
          </w:p>
        </w:tc>
      </w:tr>
      <w:tr w:rsidR="006F549F" w:rsidRPr="00D05C65" w:rsidTr="008E488E">
        <w:tc>
          <w:tcPr>
            <w:tcW w:w="1017" w:type="pct"/>
          </w:tcPr>
          <w:p w:rsidR="006F549F" w:rsidRPr="009B1373" w:rsidRDefault="006F549F" w:rsidP="00E926C3">
            <w:pPr>
              <w:rPr>
                <w:rFonts w:ascii="Arial" w:hAnsi="Arial" w:cs="Arial"/>
                <w:b/>
                <w:sz w:val="20"/>
              </w:rPr>
            </w:pPr>
          </w:p>
        </w:tc>
        <w:tc>
          <w:tcPr>
            <w:tcW w:w="3983" w:type="pct"/>
          </w:tcPr>
          <w:p w:rsidR="006F549F" w:rsidRPr="00D05C65" w:rsidRDefault="006F549F" w:rsidP="00E926C3">
            <w:pPr>
              <w:rPr>
                <w:rFonts w:ascii="Arial" w:hAnsi="Arial" w:cs="Arial"/>
                <w:sz w:val="20"/>
              </w:rPr>
            </w:pPr>
          </w:p>
        </w:tc>
      </w:tr>
      <w:tr w:rsidR="006F549F" w:rsidRPr="00D05C65" w:rsidTr="008E488E">
        <w:tc>
          <w:tcPr>
            <w:tcW w:w="1017" w:type="pct"/>
          </w:tcPr>
          <w:p w:rsidR="006F549F" w:rsidRPr="009B1373" w:rsidRDefault="006F549F" w:rsidP="00E926C3">
            <w:pPr>
              <w:rPr>
                <w:rFonts w:ascii="Arial" w:hAnsi="Arial" w:cs="Arial"/>
                <w:b/>
                <w:sz w:val="20"/>
              </w:rPr>
            </w:pPr>
            <w:r w:rsidRPr="009B1373">
              <w:rPr>
                <w:rFonts w:ascii="Arial" w:hAnsi="Arial" w:cs="Arial"/>
                <w:b/>
                <w:sz w:val="20"/>
              </w:rPr>
              <w:t>Annual Risk Management Checklist</w:t>
            </w:r>
          </w:p>
        </w:tc>
        <w:tc>
          <w:tcPr>
            <w:tcW w:w="3983" w:type="pct"/>
          </w:tcPr>
          <w:p w:rsidR="006F549F" w:rsidRPr="00D05C65" w:rsidRDefault="006F549F" w:rsidP="00E926C3">
            <w:pPr>
              <w:rPr>
                <w:rFonts w:ascii="Arial" w:hAnsi="Arial" w:cs="Arial"/>
                <w:sz w:val="20"/>
              </w:rPr>
            </w:pPr>
            <w:r w:rsidRPr="00D05C65">
              <w:rPr>
                <w:rFonts w:ascii="Arial" w:hAnsi="Arial" w:cs="Arial"/>
                <w:sz w:val="20"/>
              </w:rPr>
              <w:t>Principals need to complete an annual Anaphylaxis Risk Management Checklist to monitor their compliance with their legal obligations and these Guidelines.</w:t>
            </w:r>
          </w:p>
        </w:tc>
      </w:tr>
      <w:tr w:rsidR="006F549F" w:rsidRPr="00D05C65" w:rsidTr="008E488E">
        <w:tc>
          <w:tcPr>
            <w:tcW w:w="1017" w:type="pct"/>
          </w:tcPr>
          <w:p w:rsidR="006F549F" w:rsidRPr="009B1373" w:rsidRDefault="006F549F" w:rsidP="00E926C3">
            <w:pPr>
              <w:rPr>
                <w:rFonts w:ascii="Arial" w:hAnsi="Arial" w:cs="Arial"/>
                <w:b/>
                <w:sz w:val="20"/>
              </w:rPr>
            </w:pPr>
          </w:p>
        </w:tc>
        <w:tc>
          <w:tcPr>
            <w:tcW w:w="3983" w:type="pct"/>
          </w:tcPr>
          <w:p w:rsidR="006F549F" w:rsidRPr="00D05C65" w:rsidRDefault="006F549F" w:rsidP="00E926C3">
            <w:pPr>
              <w:rPr>
                <w:rFonts w:ascii="Arial" w:hAnsi="Arial" w:cs="Arial"/>
                <w:sz w:val="20"/>
              </w:rPr>
            </w:pPr>
          </w:p>
        </w:tc>
      </w:tr>
      <w:tr w:rsidR="006F549F" w:rsidRPr="00D05C65" w:rsidTr="008E488E">
        <w:tc>
          <w:tcPr>
            <w:tcW w:w="1017" w:type="pct"/>
          </w:tcPr>
          <w:p w:rsidR="006F549F" w:rsidRPr="009B1373" w:rsidRDefault="006F549F" w:rsidP="00E926C3">
            <w:pPr>
              <w:rPr>
                <w:rFonts w:ascii="Arial" w:hAnsi="Arial" w:cs="Arial"/>
                <w:b/>
                <w:sz w:val="20"/>
              </w:rPr>
            </w:pPr>
            <w:r w:rsidRPr="009B1373">
              <w:rPr>
                <w:rFonts w:ascii="Arial" w:hAnsi="Arial" w:cs="Arial"/>
                <w:b/>
                <w:sz w:val="20"/>
              </w:rPr>
              <w:t>Purchase additional adrenaline auto-injection devices</w:t>
            </w:r>
          </w:p>
        </w:tc>
        <w:tc>
          <w:tcPr>
            <w:tcW w:w="3983" w:type="pct"/>
          </w:tcPr>
          <w:p w:rsidR="006F549F" w:rsidRPr="00D05C65" w:rsidRDefault="006F549F" w:rsidP="00E926C3">
            <w:pPr>
              <w:rPr>
                <w:rFonts w:ascii="Arial" w:hAnsi="Arial" w:cs="Arial"/>
                <w:sz w:val="20"/>
              </w:rPr>
            </w:pPr>
            <w:r w:rsidRPr="00D05C65">
              <w:rPr>
                <w:rFonts w:ascii="Arial" w:hAnsi="Arial" w:cs="Arial"/>
                <w:sz w:val="20"/>
              </w:rPr>
              <w:t xml:space="preserve">Schools with students at risk of anaphylaxis must purchase a spare or ‘backup’ adrenaline auto-injection device(s) as part of school first aid kit(s), for general use. Schools can purchase an adrenaline auto-injection device at local chemists. (Schools must regularly check the expiry date of the backup device). </w:t>
            </w:r>
            <w:proofErr w:type="spellStart"/>
            <w:r w:rsidRPr="00D05C65">
              <w:rPr>
                <w:rFonts w:ascii="Arial" w:hAnsi="Arial" w:cs="Arial"/>
                <w:sz w:val="20"/>
              </w:rPr>
              <w:t>NSchools</w:t>
            </w:r>
            <w:proofErr w:type="spellEnd"/>
            <w:r w:rsidRPr="00D05C65">
              <w:rPr>
                <w:rFonts w:ascii="Arial" w:hAnsi="Arial" w:cs="Arial"/>
                <w:sz w:val="20"/>
              </w:rPr>
              <w:t xml:space="preserve"> must determine the number of backup adrenaline auto-injection devices to be purchased for general use, taking into account the number of diagnosed students attending the school and the likely availability of a backup device in various settings, including school excursions and camps.</w:t>
            </w:r>
          </w:p>
        </w:tc>
      </w:tr>
      <w:tr w:rsidR="006F549F" w:rsidRPr="00D05C65" w:rsidTr="008E488E">
        <w:tc>
          <w:tcPr>
            <w:tcW w:w="1017" w:type="pct"/>
          </w:tcPr>
          <w:p w:rsidR="006F549F" w:rsidRPr="009B1373" w:rsidRDefault="006F549F" w:rsidP="00E926C3">
            <w:pPr>
              <w:rPr>
                <w:rFonts w:ascii="Arial" w:hAnsi="Arial" w:cs="Arial"/>
                <w:b/>
                <w:sz w:val="20"/>
              </w:rPr>
            </w:pPr>
          </w:p>
        </w:tc>
        <w:tc>
          <w:tcPr>
            <w:tcW w:w="3983" w:type="pct"/>
          </w:tcPr>
          <w:p w:rsidR="006F549F" w:rsidRPr="00D05C65" w:rsidRDefault="006F549F" w:rsidP="00E926C3">
            <w:pPr>
              <w:rPr>
                <w:rFonts w:ascii="Arial" w:hAnsi="Arial" w:cs="Arial"/>
                <w:sz w:val="20"/>
              </w:rPr>
            </w:pPr>
          </w:p>
        </w:tc>
      </w:tr>
      <w:tr w:rsidR="006F549F" w:rsidRPr="00D05C65" w:rsidTr="008E488E">
        <w:tc>
          <w:tcPr>
            <w:tcW w:w="1017" w:type="pct"/>
          </w:tcPr>
          <w:p w:rsidR="006F549F" w:rsidRPr="009B1373" w:rsidRDefault="006F549F" w:rsidP="00E926C3">
            <w:pPr>
              <w:rPr>
                <w:rFonts w:ascii="Arial" w:hAnsi="Arial" w:cs="Arial"/>
                <w:b/>
                <w:sz w:val="20"/>
              </w:rPr>
            </w:pPr>
            <w:r w:rsidRPr="009B1373">
              <w:rPr>
                <w:rFonts w:ascii="Arial" w:hAnsi="Arial" w:cs="Arial"/>
                <w:b/>
                <w:sz w:val="20"/>
              </w:rPr>
              <w:t>Training staff</w:t>
            </w:r>
          </w:p>
        </w:tc>
        <w:tc>
          <w:tcPr>
            <w:tcW w:w="3983" w:type="pct"/>
          </w:tcPr>
          <w:p w:rsidR="006F549F" w:rsidRPr="00D05C65" w:rsidRDefault="006F549F" w:rsidP="00E926C3">
            <w:pPr>
              <w:rPr>
                <w:rFonts w:ascii="Arial" w:hAnsi="Arial" w:cs="Arial"/>
                <w:sz w:val="20"/>
              </w:rPr>
            </w:pPr>
            <w:r w:rsidRPr="00D05C65">
              <w:rPr>
                <w:rFonts w:ascii="Arial" w:hAnsi="Arial" w:cs="Arial"/>
                <w:sz w:val="20"/>
              </w:rPr>
              <w:t xml:space="preserve">All school staff with a duty of care responsibility for the wellbeing of students at risk of anaphylaxis should receive training in how to recognise and respond to an anaphylactic reaction including administering an adrenaline </w:t>
            </w:r>
            <w:proofErr w:type="spellStart"/>
            <w:r w:rsidRPr="00D05C65">
              <w:rPr>
                <w:rFonts w:ascii="Arial" w:hAnsi="Arial" w:cs="Arial"/>
                <w:sz w:val="20"/>
              </w:rPr>
              <w:t>autoinjector</w:t>
            </w:r>
            <w:proofErr w:type="spellEnd"/>
            <w:r w:rsidRPr="00D05C65">
              <w:rPr>
                <w:rFonts w:ascii="Arial" w:hAnsi="Arial" w:cs="Arial"/>
                <w:sz w:val="20"/>
              </w:rPr>
              <w:t xml:space="preserve"> (i.e. </w:t>
            </w:r>
            <w:proofErr w:type="spellStart"/>
            <w:r w:rsidRPr="00D05C65">
              <w:rPr>
                <w:rFonts w:ascii="Arial" w:hAnsi="Arial" w:cs="Arial"/>
                <w:sz w:val="20"/>
              </w:rPr>
              <w:t>EpiPen</w:t>
            </w:r>
            <w:proofErr w:type="spellEnd"/>
            <w:r w:rsidRPr="00D05C65">
              <w:rPr>
                <w:rFonts w:ascii="Arial" w:hAnsi="Arial" w:cs="Arial"/>
                <w:sz w:val="20"/>
              </w:rPr>
              <w:t>®/</w:t>
            </w:r>
            <w:proofErr w:type="spellStart"/>
            <w:r w:rsidRPr="00D05C65">
              <w:rPr>
                <w:rFonts w:ascii="Arial" w:hAnsi="Arial" w:cs="Arial"/>
                <w:sz w:val="20"/>
              </w:rPr>
              <w:t>Anapen</w:t>
            </w:r>
            <w:proofErr w:type="spellEnd"/>
            <w:r w:rsidRPr="00D05C65">
              <w:rPr>
                <w:rFonts w:ascii="Arial" w:hAnsi="Arial" w:cs="Arial"/>
                <w:sz w:val="20"/>
              </w:rPr>
              <w:t>®).  Schools wishing to organise staff training (at no expense to government schools) should contact St John Ambulance Victoria on (03) 8588 8391.</w:t>
            </w:r>
          </w:p>
        </w:tc>
      </w:tr>
      <w:tr w:rsidR="006F549F" w:rsidRPr="00D05C65" w:rsidTr="008E488E">
        <w:tc>
          <w:tcPr>
            <w:tcW w:w="1017" w:type="pct"/>
          </w:tcPr>
          <w:p w:rsidR="006F549F" w:rsidRPr="009B1373" w:rsidRDefault="006F549F" w:rsidP="00E926C3">
            <w:pPr>
              <w:rPr>
                <w:rFonts w:ascii="Arial" w:hAnsi="Arial" w:cs="Arial"/>
                <w:b/>
                <w:sz w:val="20"/>
              </w:rPr>
            </w:pPr>
          </w:p>
        </w:tc>
        <w:tc>
          <w:tcPr>
            <w:tcW w:w="3983" w:type="pct"/>
          </w:tcPr>
          <w:p w:rsidR="006F549F" w:rsidRPr="00D05C65" w:rsidRDefault="006F549F" w:rsidP="00E926C3">
            <w:pPr>
              <w:rPr>
                <w:rFonts w:ascii="Arial" w:hAnsi="Arial" w:cs="Arial"/>
                <w:sz w:val="20"/>
              </w:rPr>
            </w:pPr>
          </w:p>
        </w:tc>
      </w:tr>
      <w:tr w:rsidR="006F549F" w:rsidRPr="00D05C65" w:rsidTr="008E488E">
        <w:tc>
          <w:tcPr>
            <w:tcW w:w="1017" w:type="pct"/>
          </w:tcPr>
          <w:p w:rsidR="006F549F" w:rsidRPr="009B1373" w:rsidRDefault="006F549F" w:rsidP="00E926C3">
            <w:pPr>
              <w:rPr>
                <w:rFonts w:ascii="Arial" w:hAnsi="Arial" w:cs="Arial"/>
                <w:b/>
                <w:sz w:val="20"/>
              </w:rPr>
            </w:pPr>
            <w:r w:rsidRPr="009B1373">
              <w:rPr>
                <w:rFonts w:ascii="Arial" w:hAnsi="Arial" w:cs="Arial"/>
                <w:b/>
                <w:sz w:val="20"/>
              </w:rPr>
              <w:t>Encouraging camps and special event participation</w:t>
            </w:r>
          </w:p>
        </w:tc>
        <w:tc>
          <w:tcPr>
            <w:tcW w:w="3983" w:type="pct"/>
          </w:tcPr>
          <w:p w:rsidR="006F549F" w:rsidRPr="00D05C65" w:rsidRDefault="006F549F" w:rsidP="00E926C3">
            <w:pPr>
              <w:rPr>
                <w:rFonts w:ascii="Arial" w:hAnsi="Arial" w:cs="Arial"/>
                <w:sz w:val="20"/>
              </w:rPr>
            </w:pPr>
            <w:r w:rsidRPr="00D05C65">
              <w:rPr>
                <w:rFonts w:ascii="Arial" w:hAnsi="Arial" w:cs="Arial"/>
                <w:sz w:val="20"/>
              </w:rPr>
              <w:t>Schools should ask the parents/guardians to complete the Department’s Confidential Medical Information for School Council Approved School Excursions form. Note: Consideration should be given to the food provided. See: Related policies (http://www.education.vic.gov.au#1) for: &gt; Health Care Needs &gt; Health Support Planning Forms</w:t>
            </w:r>
          </w:p>
        </w:tc>
      </w:tr>
      <w:tr w:rsidR="006F549F" w:rsidRPr="00D05C65" w:rsidTr="008E488E">
        <w:tc>
          <w:tcPr>
            <w:tcW w:w="1017" w:type="pct"/>
          </w:tcPr>
          <w:p w:rsidR="006F549F" w:rsidRPr="009B1373" w:rsidRDefault="006F549F" w:rsidP="00E926C3">
            <w:pPr>
              <w:rPr>
                <w:rFonts w:ascii="Arial" w:hAnsi="Arial" w:cs="Arial"/>
                <w:b/>
                <w:sz w:val="20"/>
              </w:rPr>
            </w:pPr>
          </w:p>
        </w:tc>
        <w:tc>
          <w:tcPr>
            <w:tcW w:w="3983" w:type="pct"/>
          </w:tcPr>
          <w:p w:rsidR="006F549F" w:rsidRPr="00D05C65" w:rsidRDefault="006F549F" w:rsidP="00E926C3">
            <w:pPr>
              <w:rPr>
                <w:rFonts w:ascii="Arial" w:hAnsi="Arial" w:cs="Arial"/>
                <w:sz w:val="20"/>
              </w:rPr>
            </w:pPr>
          </w:p>
        </w:tc>
      </w:tr>
      <w:tr w:rsidR="006F549F" w:rsidRPr="00D05C65" w:rsidTr="008E488E">
        <w:tc>
          <w:tcPr>
            <w:tcW w:w="1017" w:type="pct"/>
          </w:tcPr>
          <w:p w:rsidR="006F549F" w:rsidRPr="009B1373" w:rsidRDefault="006F549F" w:rsidP="00E926C3">
            <w:pPr>
              <w:rPr>
                <w:rFonts w:ascii="Arial" w:hAnsi="Arial" w:cs="Arial"/>
                <w:b/>
                <w:sz w:val="20"/>
              </w:rPr>
            </w:pPr>
            <w:r w:rsidRPr="009B1373">
              <w:rPr>
                <w:rFonts w:ascii="Arial" w:hAnsi="Arial" w:cs="Arial"/>
                <w:b/>
                <w:sz w:val="20"/>
              </w:rPr>
              <w:t>Communicating with parents</w:t>
            </w:r>
          </w:p>
        </w:tc>
        <w:tc>
          <w:tcPr>
            <w:tcW w:w="3983" w:type="pct"/>
          </w:tcPr>
          <w:p w:rsidR="006F549F" w:rsidRPr="00D05C65" w:rsidRDefault="006F549F" w:rsidP="00E926C3">
            <w:pPr>
              <w:rPr>
                <w:rFonts w:ascii="Arial" w:hAnsi="Arial" w:cs="Arial"/>
                <w:sz w:val="20"/>
              </w:rPr>
            </w:pPr>
            <w:r w:rsidRPr="00D05C65">
              <w:rPr>
                <w:rFonts w:ascii="Arial" w:hAnsi="Arial" w:cs="Arial"/>
                <w:sz w:val="20"/>
              </w:rPr>
              <w:t>Regularly communicate with the student’s parents about the student’s successes, development, changes and any health and education concerns.</w:t>
            </w:r>
          </w:p>
        </w:tc>
      </w:tr>
    </w:tbl>
    <w:p w:rsidR="00D05C65" w:rsidRDefault="00D05C65" w:rsidP="004E4994">
      <w:pPr>
        <w:rPr>
          <w:rFonts w:ascii="Arial" w:hAnsi="Arial" w:cs="Arial"/>
          <w:sz w:val="20"/>
        </w:rPr>
      </w:pPr>
    </w:p>
    <w:p w:rsidR="004E4994" w:rsidRDefault="004E4994" w:rsidP="004E4994">
      <w:pPr>
        <w:rPr>
          <w:rFonts w:ascii="Arial" w:hAnsi="Arial" w:cs="Arial"/>
          <w:sz w:val="20"/>
        </w:rPr>
      </w:pPr>
    </w:p>
    <w:p w:rsidR="006F549F" w:rsidRDefault="006F549F" w:rsidP="004E4994">
      <w:pPr>
        <w:rPr>
          <w:rFonts w:ascii="Arial" w:hAnsi="Arial" w:cs="Arial"/>
          <w:sz w:val="20"/>
        </w:rPr>
      </w:pPr>
    </w:p>
    <w:tbl>
      <w:tblPr>
        <w:tblStyle w:val="TableGrid"/>
        <w:tblW w:w="5000" w:type="pct"/>
        <w:tblCellMar>
          <w:top w:w="85" w:type="dxa"/>
          <w:bottom w:w="85" w:type="dxa"/>
        </w:tblCellMar>
        <w:tblLook w:val="04A0" w:firstRow="1" w:lastRow="0" w:firstColumn="1" w:lastColumn="0" w:noHBand="0" w:noVBand="1"/>
      </w:tblPr>
      <w:tblGrid>
        <w:gridCol w:w="4280"/>
        <w:gridCol w:w="5456"/>
      </w:tblGrid>
      <w:tr w:rsidR="00D05C65" w:rsidTr="006F549F">
        <w:tc>
          <w:tcPr>
            <w:tcW w:w="2198" w:type="pct"/>
          </w:tcPr>
          <w:p w:rsidR="00D05C65" w:rsidRPr="009B1373" w:rsidRDefault="00D05C65" w:rsidP="002E5CCD">
            <w:pPr>
              <w:rPr>
                <w:rFonts w:ascii="Arial" w:hAnsi="Arial" w:cs="Arial"/>
                <w:b/>
                <w:sz w:val="20"/>
              </w:rPr>
            </w:pPr>
            <w:r w:rsidRPr="009B1373">
              <w:rPr>
                <w:rFonts w:ascii="Arial" w:hAnsi="Arial" w:cs="Arial"/>
                <w:b/>
                <w:sz w:val="20"/>
              </w:rPr>
              <w:t>DOCUMENT CONTROLS</w:t>
            </w:r>
          </w:p>
        </w:tc>
        <w:tc>
          <w:tcPr>
            <w:tcW w:w="2802" w:type="pct"/>
          </w:tcPr>
          <w:p w:rsidR="00D05C65" w:rsidRDefault="00D05C65" w:rsidP="002E5CCD">
            <w:pPr>
              <w:rPr>
                <w:rFonts w:ascii="Arial" w:hAnsi="Arial" w:cs="Arial"/>
                <w:sz w:val="20"/>
              </w:rPr>
            </w:pPr>
          </w:p>
        </w:tc>
      </w:tr>
      <w:tr w:rsidR="00D05C65" w:rsidTr="006F549F">
        <w:tc>
          <w:tcPr>
            <w:tcW w:w="2198" w:type="pct"/>
          </w:tcPr>
          <w:p w:rsidR="00D05C65" w:rsidRPr="009B1373" w:rsidRDefault="00D05C65" w:rsidP="002E5CCD">
            <w:pPr>
              <w:rPr>
                <w:rFonts w:ascii="Arial" w:hAnsi="Arial" w:cs="Arial"/>
                <w:b/>
                <w:sz w:val="20"/>
              </w:rPr>
            </w:pPr>
          </w:p>
        </w:tc>
        <w:tc>
          <w:tcPr>
            <w:tcW w:w="2802" w:type="pct"/>
          </w:tcPr>
          <w:p w:rsidR="00D05C65" w:rsidRDefault="00D05C65" w:rsidP="002E5CCD">
            <w:pPr>
              <w:rPr>
                <w:rFonts w:ascii="Arial" w:hAnsi="Arial" w:cs="Arial"/>
                <w:sz w:val="20"/>
              </w:rPr>
            </w:pPr>
          </w:p>
        </w:tc>
      </w:tr>
      <w:tr w:rsidR="004E4994" w:rsidTr="006F549F">
        <w:tc>
          <w:tcPr>
            <w:tcW w:w="2198" w:type="pct"/>
          </w:tcPr>
          <w:p w:rsidR="004E4994" w:rsidRPr="009B1373" w:rsidRDefault="004E4994" w:rsidP="002E5CCD">
            <w:pPr>
              <w:rPr>
                <w:rFonts w:ascii="Arial" w:hAnsi="Arial" w:cs="Arial"/>
                <w:b/>
                <w:sz w:val="20"/>
              </w:rPr>
            </w:pPr>
            <w:r w:rsidRPr="009B1373">
              <w:rPr>
                <w:rFonts w:ascii="Arial" w:hAnsi="Arial" w:cs="Arial"/>
                <w:b/>
                <w:sz w:val="20"/>
              </w:rPr>
              <w:t>DOCUMENT NAME</w:t>
            </w:r>
          </w:p>
        </w:tc>
        <w:tc>
          <w:tcPr>
            <w:tcW w:w="2802" w:type="pct"/>
          </w:tcPr>
          <w:p w:rsidR="004E4994" w:rsidRDefault="00F15DA5" w:rsidP="002E5CCD">
            <w:pPr>
              <w:rPr>
                <w:rFonts w:ascii="Arial" w:hAnsi="Arial" w:cs="Arial"/>
                <w:sz w:val="20"/>
              </w:rPr>
            </w:pPr>
            <w:r>
              <w:rPr>
                <w:rFonts w:ascii="Arial" w:hAnsi="Arial" w:cs="Arial"/>
                <w:sz w:val="20"/>
              </w:rPr>
              <w:t>ANAPHYLAXIS POLICY</w:t>
            </w:r>
          </w:p>
        </w:tc>
      </w:tr>
      <w:tr w:rsidR="004E4994" w:rsidTr="006F549F">
        <w:tc>
          <w:tcPr>
            <w:tcW w:w="2198" w:type="pct"/>
          </w:tcPr>
          <w:p w:rsidR="004E4994" w:rsidRPr="009B1373" w:rsidRDefault="004E4994" w:rsidP="002E5CCD">
            <w:pPr>
              <w:rPr>
                <w:rFonts w:ascii="Arial" w:hAnsi="Arial" w:cs="Arial"/>
                <w:b/>
                <w:sz w:val="20"/>
              </w:rPr>
            </w:pPr>
          </w:p>
        </w:tc>
        <w:tc>
          <w:tcPr>
            <w:tcW w:w="2802" w:type="pct"/>
          </w:tcPr>
          <w:p w:rsidR="004E4994" w:rsidRDefault="004E4994" w:rsidP="002E5CCD">
            <w:pPr>
              <w:rPr>
                <w:rFonts w:ascii="Arial" w:hAnsi="Arial" w:cs="Arial"/>
                <w:sz w:val="20"/>
              </w:rPr>
            </w:pPr>
          </w:p>
        </w:tc>
      </w:tr>
      <w:tr w:rsidR="004E4994" w:rsidTr="006F549F">
        <w:tc>
          <w:tcPr>
            <w:tcW w:w="2198" w:type="pct"/>
          </w:tcPr>
          <w:p w:rsidR="004E4994" w:rsidRPr="009B1373" w:rsidRDefault="004E4994" w:rsidP="002E5CCD">
            <w:pPr>
              <w:rPr>
                <w:rFonts w:ascii="Arial" w:hAnsi="Arial" w:cs="Arial"/>
                <w:b/>
                <w:sz w:val="20"/>
              </w:rPr>
            </w:pPr>
            <w:r w:rsidRPr="009B1373">
              <w:rPr>
                <w:rFonts w:ascii="Arial" w:hAnsi="Arial" w:cs="Arial"/>
                <w:b/>
                <w:sz w:val="20"/>
              </w:rPr>
              <w:t>AUTHOR</w:t>
            </w:r>
          </w:p>
        </w:tc>
        <w:tc>
          <w:tcPr>
            <w:tcW w:w="2802" w:type="pct"/>
          </w:tcPr>
          <w:p w:rsidR="004E4994" w:rsidRDefault="004E4994" w:rsidP="002E5CCD">
            <w:pPr>
              <w:rPr>
                <w:rFonts w:ascii="Arial" w:hAnsi="Arial" w:cs="Arial"/>
                <w:sz w:val="20"/>
              </w:rPr>
            </w:pPr>
          </w:p>
        </w:tc>
      </w:tr>
      <w:tr w:rsidR="004E4994" w:rsidTr="006F549F">
        <w:tc>
          <w:tcPr>
            <w:tcW w:w="2198" w:type="pct"/>
          </w:tcPr>
          <w:p w:rsidR="004E4994" w:rsidRPr="009B1373" w:rsidRDefault="004E4994" w:rsidP="002E5CCD">
            <w:pPr>
              <w:rPr>
                <w:rFonts w:ascii="Arial" w:hAnsi="Arial" w:cs="Arial"/>
                <w:b/>
                <w:sz w:val="20"/>
              </w:rPr>
            </w:pPr>
          </w:p>
        </w:tc>
        <w:tc>
          <w:tcPr>
            <w:tcW w:w="2802" w:type="pct"/>
          </w:tcPr>
          <w:p w:rsidR="004E4994" w:rsidRDefault="004E4994" w:rsidP="002E5CCD">
            <w:pPr>
              <w:rPr>
                <w:rFonts w:ascii="Arial" w:hAnsi="Arial" w:cs="Arial"/>
                <w:sz w:val="20"/>
              </w:rPr>
            </w:pPr>
          </w:p>
        </w:tc>
      </w:tr>
      <w:tr w:rsidR="004E4994" w:rsidTr="006F549F">
        <w:tc>
          <w:tcPr>
            <w:tcW w:w="2198" w:type="pct"/>
          </w:tcPr>
          <w:p w:rsidR="004E4994" w:rsidRPr="009B1373" w:rsidRDefault="004E4994" w:rsidP="002E5CCD">
            <w:pPr>
              <w:rPr>
                <w:rFonts w:ascii="Arial" w:hAnsi="Arial" w:cs="Arial"/>
                <w:b/>
                <w:sz w:val="20"/>
              </w:rPr>
            </w:pPr>
            <w:r w:rsidRPr="009B1373">
              <w:rPr>
                <w:rFonts w:ascii="Arial" w:hAnsi="Arial" w:cs="Arial"/>
                <w:b/>
                <w:sz w:val="20"/>
              </w:rPr>
              <w:t>SCHOOL COUNCIL CONTRIBUTORS</w:t>
            </w:r>
          </w:p>
        </w:tc>
        <w:tc>
          <w:tcPr>
            <w:tcW w:w="2802" w:type="pct"/>
          </w:tcPr>
          <w:p w:rsidR="004E4994" w:rsidRDefault="004E4994" w:rsidP="002E5CCD">
            <w:pPr>
              <w:rPr>
                <w:rFonts w:ascii="Arial" w:hAnsi="Arial" w:cs="Arial"/>
                <w:sz w:val="20"/>
              </w:rPr>
            </w:pPr>
          </w:p>
        </w:tc>
      </w:tr>
      <w:tr w:rsidR="004E4994" w:rsidTr="006F549F">
        <w:tc>
          <w:tcPr>
            <w:tcW w:w="2198" w:type="pct"/>
          </w:tcPr>
          <w:p w:rsidR="004E4994" w:rsidRPr="009B1373" w:rsidRDefault="004E4994" w:rsidP="002E5CCD">
            <w:pPr>
              <w:rPr>
                <w:rFonts w:ascii="Arial" w:hAnsi="Arial" w:cs="Arial"/>
                <w:b/>
                <w:sz w:val="20"/>
              </w:rPr>
            </w:pPr>
          </w:p>
        </w:tc>
        <w:tc>
          <w:tcPr>
            <w:tcW w:w="2802" w:type="pct"/>
          </w:tcPr>
          <w:p w:rsidR="004E4994" w:rsidRDefault="004E4994" w:rsidP="002E5CCD">
            <w:pPr>
              <w:rPr>
                <w:rFonts w:ascii="Arial" w:hAnsi="Arial" w:cs="Arial"/>
                <w:sz w:val="20"/>
              </w:rPr>
            </w:pPr>
          </w:p>
        </w:tc>
      </w:tr>
      <w:tr w:rsidR="004E4994" w:rsidTr="006F549F">
        <w:tc>
          <w:tcPr>
            <w:tcW w:w="2198" w:type="pct"/>
          </w:tcPr>
          <w:p w:rsidR="004E4994" w:rsidRPr="009B1373" w:rsidRDefault="004E4994" w:rsidP="002E5CCD">
            <w:pPr>
              <w:rPr>
                <w:rFonts w:ascii="Arial" w:hAnsi="Arial" w:cs="Arial"/>
                <w:b/>
                <w:sz w:val="20"/>
              </w:rPr>
            </w:pPr>
            <w:r w:rsidRPr="009B1373">
              <w:rPr>
                <w:rFonts w:ascii="Arial" w:hAnsi="Arial" w:cs="Arial"/>
                <w:b/>
                <w:sz w:val="20"/>
              </w:rPr>
              <w:t>SCHOOL COUNCIL APPROVAL DATE</w:t>
            </w:r>
          </w:p>
        </w:tc>
        <w:tc>
          <w:tcPr>
            <w:tcW w:w="2802" w:type="pct"/>
          </w:tcPr>
          <w:p w:rsidR="004E4994" w:rsidRDefault="00B11C17" w:rsidP="002E5CCD">
            <w:pPr>
              <w:rPr>
                <w:rFonts w:ascii="Arial" w:hAnsi="Arial" w:cs="Arial"/>
                <w:sz w:val="20"/>
              </w:rPr>
            </w:pPr>
            <w:r>
              <w:rPr>
                <w:rFonts w:ascii="Arial" w:hAnsi="Arial" w:cs="Arial"/>
                <w:sz w:val="20"/>
              </w:rPr>
              <w:t xml:space="preserve">March </w:t>
            </w:r>
            <w:r w:rsidR="008E488E">
              <w:rPr>
                <w:rFonts w:ascii="Arial" w:hAnsi="Arial" w:cs="Arial"/>
                <w:sz w:val="20"/>
              </w:rPr>
              <w:t>2016</w:t>
            </w:r>
          </w:p>
        </w:tc>
      </w:tr>
      <w:tr w:rsidR="004E4994" w:rsidTr="006F549F">
        <w:tc>
          <w:tcPr>
            <w:tcW w:w="2198" w:type="pct"/>
          </w:tcPr>
          <w:p w:rsidR="004E4994" w:rsidRPr="009B1373" w:rsidRDefault="004E4994" w:rsidP="002E5CCD">
            <w:pPr>
              <w:rPr>
                <w:rFonts w:ascii="Arial" w:hAnsi="Arial" w:cs="Arial"/>
                <w:b/>
                <w:sz w:val="20"/>
              </w:rPr>
            </w:pPr>
          </w:p>
        </w:tc>
        <w:tc>
          <w:tcPr>
            <w:tcW w:w="2802" w:type="pct"/>
          </w:tcPr>
          <w:p w:rsidR="004E4994" w:rsidRDefault="004E4994" w:rsidP="002E5CCD">
            <w:pPr>
              <w:rPr>
                <w:rFonts w:ascii="Arial" w:hAnsi="Arial" w:cs="Arial"/>
                <w:sz w:val="20"/>
              </w:rPr>
            </w:pPr>
          </w:p>
        </w:tc>
      </w:tr>
      <w:tr w:rsidR="004E4994" w:rsidTr="006F549F">
        <w:tc>
          <w:tcPr>
            <w:tcW w:w="2198" w:type="pct"/>
          </w:tcPr>
          <w:p w:rsidR="004E4994" w:rsidRPr="009B1373" w:rsidRDefault="004E4994" w:rsidP="004E4994">
            <w:pPr>
              <w:rPr>
                <w:rFonts w:ascii="Arial" w:hAnsi="Arial" w:cs="Arial"/>
                <w:b/>
                <w:sz w:val="20"/>
              </w:rPr>
            </w:pPr>
            <w:r w:rsidRPr="009B1373">
              <w:rPr>
                <w:rFonts w:ascii="Arial" w:hAnsi="Arial" w:cs="Arial"/>
                <w:b/>
                <w:sz w:val="20"/>
              </w:rPr>
              <w:t>PUBLICATION STATUS</w:t>
            </w:r>
          </w:p>
        </w:tc>
        <w:tc>
          <w:tcPr>
            <w:tcW w:w="2802" w:type="pct"/>
          </w:tcPr>
          <w:p w:rsidR="004E4994" w:rsidRDefault="004E4994" w:rsidP="002E5CCD">
            <w:pPr>
              <w:rPr>
                <w:rFonts w:ascii="Arial" w:hAnsi="Arial" w:cs="Arial"/>
                <w:sz w:val="20"/>
              </w:rPr>
            </w:pPr>
          </w:p>
        </w:tc>
      </w:tr>
      <w:tr w:rsidR="004E4994" w:rsidTr="006F549F">
        <w:tc>
          <w:tcPr>
            <w:tcW w:w="2198" w:type="pct"/>
          </w:tcPr>
          <w:p w:rsidR="004E4994" w:rsidRPr="009B1373" w:rsidRDefault="004E4994" w:rsidP="002E5CCD">
            <w:pPr>
              <w:rPr>
                <w:rFonts w:ascii="Arial" w:hAnsi="Arial" w:cs="Arial"/>
                <w:b/>
                <w:sz w:val="20"/>
              </w:rPr>
            </w:pPr>
          </w:p>
        </w:tc>
        <w:tc>
          <w:tcPr>
            <w:tcW w:w="2802" w:type="pct"/>
          </w:tcPr>
          <w:p w:rsidR="004E4994" w:rsidRDefault="004E4994" w:rsidP="002E5CCD">
            <w:pPr>
              <w:rPr>
                <w:rFonts w:ascii="Arial" w:hAnsi="Arial" w:cs="Arial"/>
                <w:sz w:val="20"/>
              </w:rPr>
            </w:pPr>
          </w:p>
        </w:tc>
      </w:tr>
      <w:tr w:rsidR="004E4994" w:rsidTr="006F549F">
        <w:tc>
          <w:tcPr>
            <w:tcW w:w="2198" w:type="pct"/>
          </w:tcPr>
          <w:p w:rsidR="004E4994" w:rsidRPr="009B1373" w:rsidRDefault="004E4994" w:rsidP="002E5CCD">
            <w:pPr>
              <w:rPr>
                <w:rFonts w:ascii="Arial" w:hAnsi="Arial" w:cs="Arial"/>
                <w:b/>
                <w:sz w:val="20"/>
              </w:rPr>
            </w:pPr>
            <w:r w:rsidRPr="009B1373">
              <w:rPr>
                <w:rFonts w:ascii="Arial" w:hAnsi="Arial" w:cs="Arial"/>
                <w:b/>
                <w:sz w:val="20"/>
              </w:rPr>
              <w:t>NEXT REVIEW DATE</w:t>
            </w:r>
          </w:p>
        </w:tc>
        <w:tc>
          <w:tcPr>
            <w:tcW w:w="2802" w:type="pct"/>
          </w:tcPr>
          <w:p w:rsidR="004E4994" w:rsidRPr="009B1373" w:rsidRDefault="00B11C17" w:rsidP="002E5CCD">
            <w:pPr>
              <w:rPr>
                <w:rFonts w:ascii="Arial" w:hAnsi="Arial" w:cs="Arial"/>
                <w:b/>
                <w:sz w:val="20"/>
              </w:rPr>
            </w:pPr>
            <w:r w:rsidRPr="009B1373">
              <w:rPr>
                <w:rFonts w:ascii="Arial" w:hAnsi="Arial" w:cs="Arial"/>
                <w:b/>
                <w:sz w:val="20"/>
              </w:rPr>
              <w:t xml:space="preserve">March </w:t>
            </w:r>
            <w:r w:rsidR="009B1373">
              <w:rPr>
                <w:rFonts w:ascii="Arial" w:hAnsi="Arial" w:cs="Arial"/>
                <w:b/>
                <w:sz w:val="20"/>
              </w:rPr>
              <w:t>2020</w:t>
            </w:r>
            <w:bookmarkStart w:id="0" w:name="_GoBack"/>
            <w:bookmarkEnd w:id="0"/>
          </w:p>
        </w:tc>
      </w:tr>
    </w:tbl>
    <w:p w:rsidR="00A13A22" w:rsidRPr="00A13A22" w:rsidRDefault="00A13A22" w:rsidP="00A13A22">
      <w:pPr>
        <w:rPr>
          <w:rFonts w:ascii="Arial" w:hAnsi="Arial" w:cs="Arial"/>
          <w:sz w:val="20"/>
        </w:rPr>
      </w:pPr>
    </w:p>
    <w:sectPr w:rsidR="00A13A22" w:rsidRPr="00A13A22" w:rsidSect="00D05C65">
      <w:headerReference w:type="default" r:id="rId12"/>
      <w:footerReference w:type="default" r:id="rId13"/>
      <w:pgSz w:w="11906" w:h="16838"/>
      <w:pgMar w:top="1440" w:right="1080" w:bottom="1440" w:left="108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59" w:rsidRDefault="00B47D59" w:rsidP="00A13A22">
      <w:pPr>
        <w:spacing w:after="0" w:line="240" w:lineRule="auto"/>
      </w:pPr>
      <w:r>
        <w:separator/>
      </w:r>
    </w:p>
  </w:endnote>
  <w:endnote w:type="continuationSeparator" w:id="0">
    <w:p w:rsidR="00B47D59" w:rsidRDefault="00B47D59" w:rsidP="00A1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65" w:rsidRDefault="00D05C65">
    <w:pPr>
      <w:pStyle w:val="Footer"/>
    </w:pPr>
    <w:r>
      <w:tab/>
    </w:r>
    <w:r>
      <w:fldChar w:fldCharType="begin"/>
    </w:r>
    <w:r>
      <w:instrText xml:space="preserve"> PAGE   \* MERGEFORMAT </w:instrText>
    </w:r>
    <w:r>
      <w:fldChar w:fldCharType="separate"/>
    </w:r>
    <w:r w:rsidR="009B137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59" w:rsidRDefault="00B47D59" w:rsidP="00A13A22">
      <w:pPr>
        <w:spacing w:after="0" w:line="240" w:lineRule="auto"/>
      </w:pPr>
      <w:r>
        <w:separator/>
      </w:r>
    </w:p>
  </w:footnote>
  <w:footnote w:type="continuationSeparator" w:id="0">
    <w:p w:rsidR="00B47D59" w:rsidRDefault="00B47D59" w:rsidP="00A13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111"/>
      <w:gridCol w:w="4501"/>
    </w:tblGrid>
    <w:tr w:rsidR="00D05C65" w:rsidTr="006D1241">
      <w:tc>
        <w:tcPr>
          <w:tcW w:w="582" w:type="pct"/>
        </w:tcPr>
        <w:p w:rsidR="00D05C65" w:rsidRDefault="00D05C65">
          <w:pPr>
            <w:pStyle w:val="Header"/>
            <w:rPr>
              <w:rFonts w:ascii="Arial" w:hAnsi="Arial" w:cs="Arial"/>
              <w:sz w:val="28"/>
            </w:rPr>
          </w:pPr>
          <w:r w:rsidRPr="00A13A22">
            <w:rPr>
              <w:rFonts w:ascii="Arial" w:hAnsi="Arial" w:cs="Arial"/>
              <w:noProof/>
              <w:sz w:val="28"/>
              <w:lang w:val="en-AU" w:eastAsia="en-AU"/>
            </w:rPr>
            <mc:AlternateContent>
              <mc:Choice Requires="wps">
                <w:drawing>
                  <wp:inline distT="0" distB="0" distL="0" distR="0">
                    <wp:extent cx="600075" cy="600075"/>
                    <wp:effectExtent l="0" t="0" r="28575" b="28575"/>
                    <wp:docPr id="1" name="Oval 1"/>
                    <wp:cNvGraphicFramePr/>
                    <a:graphic xmlns:a="http://schemas.openxmlformats.org/drawingml/2006/main">
                      <a:graphicData uri="http://schemas.microsoft.com/office/word/2010/wordprocessingShape">
                        <wps:wsp>
                          <wps:cNvSpPr/>
                          <wps:spPr>
                            <a:xfrm>
                              <a:off x="0" y="0"/>
                              <a:ext cx="600075" cy="600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7E1FBB" id="Oval 1" o:spid="_x0000_s1026" style="width:47.2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" fillcolor="#5b9bd5 [3204]" strokecolor="#1f4d78 [1604]" strokeweight="1pt">
                    <v:stroke joinstyle="miter"/>
                    <w10:anchorlock/>
                  </v:oval>
                </w:pict>
              </mc:Fallback>
            </mc:AlternateContent>
          </w:r>
        </w:p>
      </w:tc>
      <w:tc>
        <w:tcPr>
          <w:tcW w:w="2109" w:type="pct"/>
          <w:vAlign w:val="center"/>
        </w:tcPr>
        <w:p w:rsidR="00D05C65" w:rsidRPr="00A13A22" w:rsidRDefault="00D05C65" w:rsidP="00D05C65">
          <w:pPr>
            <w:pStyle w:val="Header"/>
            <w:rPr>
              <w:rFonts w:ascii="Arial" w:hAnsi="Arial" w:cs="Arial"/>
              <w:sz w:val="28"/>
            </w:rPr>
          </w:pPr>
          <w:r w:rsidRPr="00A13A22">
            <w:rPr>
              <w:rFonts w:ascii="Arial" w:hAnsi="Arial" w:cs="Arial"/>
              <w:sz w:val="28"/>
            </w:rPr>
            <w:t>Castlemaine Primary School</w:t>
          </w:r>
        </w:p>
        <w:p w:rsidR="00D05C65" w:rsidRPr="00D05C65" w:rsidRDefault="00D05C65" w:rsidP="00D05C65">
          <w:pPr>
            <w:pStyle w:val="Header"/>
            <w:rPr>
              <w:rFonts w:ascii="Arial" w:hAnsi="Arial" w:cs="Arial"/>
              <w:i/>
              <w:sz w:val="28"/>
            </w:rPr>
          </w:pPr>
          <w:r w:rsidRPr="00D05C65">
            <w:rPr>
              <w:rFonts w:ascii="Arial" w:hAnsi="Arial" w:cs="Arial"/>
              <w:i/>
              <w:sz w:val="28"/>
            </w:rPr>
            <w:t>Policy and Guidelines</w:t>
          </w:r>
        </w:p>
      </w:tc>
      <w:tc>
        <w:tcPr>
          <w:tcW w:w="2309" w:type="pct"/>
          <w:shd w:val="clear" w:color="auto" w:fill="1F3864" w:themeFill="accent5" w:themeFillShade="80"/>
          <w:vAlign w:val="center"/>
        </w:tcPr>
        <w:p w:rsidR="00D05C65" w:rsidRPr="00D05C65" w:rsidRDefault="00D05C65" w:rsidP="00D05C65">
          <w:pPr>
            <w:jc w:val="right"/>
            <w:rPr>
              <w:rFonts w:ascii="Arial" w:hAnsi="Arial" w:cs="Arial"/>
              <w:b/>
              <w:sz w:val="40"/>
            </w:rPr>
          </w:pPr>
          <w:r w:rsidRPr="00D05C65">
            <w:rPr>
              <w:rFonts w:ascii="Arial" w:hAnsi="Arial" w:cs="Arial"/>
              <w:b/>
              <w:sz w:val="40"/>
            </w:rPr>
            <w:t>ANAPHALYXIS</w:t>
          </w:r>
        </w:p>
      </w:tc>
    </w:tr>
  </w:tbl>
  <w:p w:rsidR="00D05C65" w:rsidRDefault="00D05C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4F64"/>
    <w:multiLevelType w:val="hybridMultilevel"/>
    <w:tmpl w:val="CB88D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D0DAC"/>
    <w:multiLevelType w:val="hybridMultilevel"/>
    <w:tmpl w:val="4D10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26E89"/>
    <w:multiLevelType w:val="hybridMultilevel"/>
    <w:tmpl w:val="66B00B72"/>
    <w:lvl w:ilvl="0" w:tplc="86E20D72">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C558F8"/>
    <w:multiLevelType w:val="hybridMultilevel"/>
    <w:tmpl w:val="C9A8E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22"/>
    <w:rsid w:val="000365CF"/>
    <w:rsid w:val="00047350"/>
    <w:rsid w:val="00054F05"/>
    <w:rsid w:val="00241FB1"/>
    <w:rsid w:val="00303FE5"/>
    <w:rsid w:val="00466AA7"/>
    <w:rsid w:val="004672A4"/>
    <w:rsid w:val="00494CB8"/>
    <w:rsid w:val="004E4994"/>
    <w:rsid w:val="006D1241"/>
    <w:rsid w:val="006F549F"/>
    <w:rsid w:val="00782AA6"/>
    <w:rsid w:val="007A35DA"/>
    <w:rsid w:val="007F5C29"/>
    <w:rsid w:val="008E488E"/>
    <w:rsid w:val="008F0577"/>
    <w:rsid w:val="009B1373"/>
    <w:rsid w:val="009E5E2E"/>
    <w:rsid w:val="00A13A22"/>
    <w:rsid w:val="00A469BD"/>
    <w:rsid w:val="00A82B49"/>
    <w:rsid w:val="00B11C17"/>
    <w:rsid w:val="00B23665"/>
    <w:rsid w:val="00B47D59"/>
    <w:rsid w:val="00C36AD5"/>
    <w:rsid w:val="00CB7677"/>
    <w:rsid w:val="00CD0BE5"/>
    <w:rsid w:val="00CE5BDB"/>
    <w:rsid w:val="00D05C65"/>
    <w:rsid w:val="00E4733A"/>
    <w:rsid w:val="00ED4978"/>
    <w:rsid w:val="00F15DA5"/>
    <w:rsid w:val="00FA1BC8"/>
    <w:rsid w:val="00FC4B2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FDDC"/>
  <w15:docId w15:val="{7B5478D5-BE9E-467F-AB5F-ECCE1E58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A22"/>
  </w:style>
  <w:style w:type="paragraph" w:styleId="Footer">
    <w:name w:val="footer"/>
    <w:basedOn w:val="Normal"/>
    <w:link w:val="FooterChar"/>
    <w:uiPriority w:val="99"/>
    <w:unhideWhenUsed/>
    <w:rsid w:val="00A13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A22"/>
  </w:style>
  <w:style w:type="table" w:styleId="TableGrid">
    <w:name w:val="Table Grid"/>
    <w:basedOn w:val="TableNormal"/>
    <w:uiPriority w:val="39"/>
    <w:rsid w:val="00A1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D05C6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Paragraph">
    <w:name w:val="List Paragraph"/>
    <w:basedOn w:val="Normal"/>
    <w:uiPriority w:val="34"/>
    <w:qFormat/>
    <w:rsid w:val="00CB7677"/>
    <w:pPr>
      <w:ind w:left="720"/>
      <w:contextualSpacing/>
    </w:pPr>
  </w:style>
  <w:style w:type="character" w:styleId="Hyperlink">
    <w:name w:val="Hyperlink"/>
    <w:basedOn w:val="DefaultParagraphFont"/>
    <w:uiPriority w:val="99"/>
    <w:unhideWhenUsed/>
    <w:rsid w:val="00036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https://edugate.eduweb.vic.gov.au/edulibrary/Schools/teachers/health/riskminimisatio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vic.gov.au/school/teachers/health/pages/anaphylaxisschl.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h.org.au/allergy/advisory/Anaphylaxis_Support_Advisory_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ch.org.au/allergy/index.cfm?doc_id=7219" TargetMode="External"/><Relationship Id="rId4" Type="http://schemas.openxmlformats.org/officeDocument/2006/relationships/webSettings" Target="webSettings.xml"/><Relationship Id="rId9" Type="http://schemas.openxmlformats.org/officeDocument/2006/relationships/hyperlink" Target="http://www.education.vic.gov.auhttps://edugate.eduweb.vic.gov.au/edulibrary/Schools/teachers/health/canteendiscuss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Angeloni</dc:creator>
  <cp:lastModifiedBy>Mcconnell, Peter P</cp:lastModifiedBy>
  <cp:revision>5</cp:revision>
  <dcterms:created xsi:type="dcterms:W3CDTF">2019-02-18T06:09:00Z</dcterms:created>
  <dcterms:modified xsi:type="dcterms:W3CDTF">2019-03-03T22:28:00Z</dcterms:modified>
</cp:coreProperties>
</file>